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813A7" w14:textId="77777777" w:rsidR="00D81D46" w:rsidRPr="009B6AB0" w:rsidRDefault="009B6AB0" w:rsidP="009B6AB0">
      <w:pPr>
        <w:jc w:val="center"/>
        <w:rPr>
          <w:b/>
          <w:sz w:val="30"/>
          <w:szCs w:val="30"/>
        </w:rPr>
      </w:pPr>
      <w:bookmarkStart w:id="0" w:name="_GoBack"/>
      <w:bookmarkEnd w:id="0"/>
      <w:r w:rsidRPr="009B6AB0">
        <w:rPr>
          <w:b/>
          <w:sz w:val="30"/>
          <w:szCs w:val="30"/>
        </w:rPr>
        <w:t xml:space="preserve">KA107 </w:t>
      </w:r>
      <w:r w:rsidR="00EB0949">
        <w:rPr>
          <w:b/>
          <w:sz w:val="30"/>
          <w:szCs w:val="30"/>
        </w:rPr>
        <w:t xml:space="preserve">(nemzetközi kreditmobilitás) </w:t>
      </w:r>
      <w:r w:rsidRPr="009B6AB0">
        <w:rPr>
          <w:b/>
          <w:sz w:val="30"/>
          <w:szCs w:val="30"/>
        </w:rPr>
        <w:t>gyakori kérdések</w:t>
      </w:r>
    </w:p>
    <w:p w14:paraId="3926A232" w14:textId="77777777" w:rsidR="009B6AB0" w:rsidRDefault="009B6AB0" w:rsidP="009B6AB0"/>
    <w:p w14:paraId="1A29184E" w14:textId="77777777" w:rsidR="00D1268B" w:rsidRDefault="00E72FCF" w:rsidP="00297FE5">
      <w:pPr>
        <w:jc w:val="both"/>
        <w:rPr>
          <w:b/>
        </w:rPr>
      </w:pPr>
      <w:r>
        <w:rPr>
          <w:b/>
          <w:highlight w:val="yellow"/>
        </w:rPr>
        <w:t>Hol érem el a p</w:t>
      </w:r>
      <w:r w:rsidR="00D1268B" w:rsidRPr="00E72FCF">
        <w:rPr>
          <w:b/>
          <w:highlight w:val="yellow"/>
        </w:rPr>
        <w:t>ályázato</w:t>
      </w:r>
      <w:r>
        <w:rPr>
          <w:b/>
          <w:highlight w:val="yellow"/>
        </w:rPr>
        <w:t>t</w:t>
      </w:r>
      <w:r>
        <w:rPr>
          <w:b/>
        </w:rPr>
        <w:t>?</w:t>
      </w:r>
    </w:p>
    <w:p w14:paraId="35962E65" w14:textId="77777777" w:rsidR="00D1268B" w:rsidRDefault="00991CCA" w:rsidP="00297FE5">
      <w:pPr>
        <w:jc w:val="both"/>
        <w:rPr>
          <w:color w:val="1F497D"/>
        </w:rPr>
      </w:pPr>
      <w:hyperlink r:id="rId8" w:history="1">
        <w:r w:rsidR="00D1268B">
          <w:rPr>
            <w:rStyle w:val="Hiperhivatkozs"/>
          </w:rPr>
          <w:t>https://webgate.ec.europa.eu/web-eforms</w:t>
        </w:r>
      </w:hyperlink>
      <w:r w:rsidR="00D1268B">
        <w:rPr>
          <w:color w:val="1F497D"/>
        </w:rPr>
        <w:t xml:space="preserve">  </w:t>
      </w:r>
    </w:p>
    <w:p w14:paraId="5D7EAC29" w14:textId="77777777" w:rsidR="00D1268B" w:rsidRDefault="00E72FCF" w:rsidP="00297FE5">
      <w:pPr>
        <w:jc w:val="both"/>
        <w:rPr>
          <w:color w:val="1F497D"/>
        </w:rPr>
      </w:pPr>
      <w:r>
        <w:rPr>
          <w:color w:val="1F497D"/>
        </w:rPr>
        <w:t xml:space="preserve">KA107 esetén a </w:t>
      </w:r>
      <w:r w:rsidRPr="001330F8">
        <w:rPr>
          <w:i/>
          <w:color w:val="1F497D"/>
        </w:rPr>
        <w:t>„Higher education student and staff mobility between Programme and Partner Countries”</w:t>
      </w:r>
      <w:r>
        <w:rPr>
          <w:color w:val="1F497D"/>
        </w:rPr>
        <w:t xml:space="preserve"> űrlap</w:t>
      </w:r>
      <w:r w:rsidR="001330F8">
        <w:rPr>
          <w:color w:val="1F497D"/>
        </w:rPr>
        <w:t>ot kell kitölteni</w:t>
      </w:r>
      <w:r>
        <w:rPr>
          <w:color w:val="1F497D"/>
        </w:rPr>
        <w:t xml:space="preserve">. A </w:t>
      </w:r>
      <w:r w:rsidR="001330F8">
        <w:rPr>
          <w:color w:val="1F497D"/>
        </w:rPr>
        <w:t xml:space="preserve">korábban </w:t>
      </w:r>
      <w:r>
        <w:rPr>
          <w:color w:val="1F497D"/>
        </w:rPr>
        <w:t>elkezdett pályázatok</w:t>
      </w:r>
      <w:r w:rsidR="001330F8">
        <w:rPr>
          <w:color w:val="1F497D"/>
        </w:rPr>
        <w:t>at</w:t>
      </w:r>
      <w:r>
        <w:rPr>
          <w:color w:val="1F497D"/>
        </w:rPr>
        <w:t xml:space="preserve"> a b</w:t>
      </w:r>
      <w:r w:rsidR="00D1268B">
        <w:rPr>
          <w:color w:val="1F497D"/>
        </w:rPr>
        <w:t>ejelentkezés után a házikóra kattintva</w:t>
      </w:r>
      <w:r w:rsidR="001330F8">
        <w:rPr>
          <w:color w:val="1F497D"/>
        </w:rPr>
        <w:t xml:space="preserve"> </w:t>
      </w:r>
      <w:proofErr w:type="gramStart"/>
      <w:r w:rsidR="001330F8">
        <w:rPr>
          <w:color w:val="1F497D"/>
        </w:rPr>
        <w:t xml:space="preserve">a </w:t>
      </w:r>
      <w:r w:rsidR="00D1268B">
        <w:rPr>
          <w:color w:val="1F497D"/>
        </w:rPr>
        <w:t xml:space="preserve"> </w:t>
      </w:r>
      <w:r w:rsidR="00D1268B" w:rsidRPr="001330F8">
        <w:rPr>
          <w:i/>
          <w:color w:val="1F497D"/>
        </w:rPr>
        <w:t>„</w:t>
      </w:r>
      <w:proofErr w:type="gramEnd"/>
      <w:r w:rsidR="00D1268B" w:rsidRPr="001330F8">
        <w:rPr>
          <w:i/>
          <w:color w:val="1F497D"/>
        </w:rPr>
        <w:t>My applications</w:t>
      </w:r>
      <w:r w:rsidR="001330F8" w:rsidRPr="001330F8">
        <w:rPr>
          <w:i/>
          <w:color w:val="1F497D"/>
        </w:rPr>
        <w:t>”</w:t>
      </w:r>
      <w:r w:rsidR="00D1268B">
        <w:rPr>
          <w:color w:val="1F497D"/>
        </w:rPr>
        <w:t xml:space="preserve"> fül alatt </w:t>
      </w:r>
      <w:r w:rsidR="001330F8">
        <w:rPr>
          <w:color w:val="1F497D"/>
        </w:rPr>
        <w:t>érhetik el</w:t>
      </w:r>
      <w:r w:rsidR="00D1268B">
        <w:rPr>
          <w:color w:val="1F497D"/>
        </w:rPr>
        <w:t xml:space="preserve">. </w:t>
      </w:r>
    </w:p>
    <w:p w14:paraId="5F9F8812" w14:textId="77777777" w:rsidR="00E72FCF" w:rsidRDefault="00297FE5" w:rsidP="00297FE5">
      <w:pPr>
        <w:jc w:val="both"/>
        <w:rPr>
          <w:color w:val="000000"/>
        </w:rPr>
      </w:pPr>
      <w:r>
        <w:rPr>
          <w:noProof/>
          <w:lang w:eastAsia="hu-HU"/>
        </w:rPr>
        <w:drawing>
          <wp:anchor distT="0" distB="0" distL="114300" distR="114300" simplePos="0" relativeHeight="251661312" behindDoc="0" locked="0" layoutInCell="1" allowOverlap="1" wp14:anchorId="6DD1AF4D" wp14:editId="203F1A54">
            <wp:simplePos x="0" y="0"/>
            <wp:positionH relativeFrom="column">
              <wp:posOffset>-3175</wp:posOffset>
            </wp:positionH>
            <wp:positionV relativeFrom="paragraph">
              <wp:posOffset>748030</wp:posOffset>
            </wp:positionV>
            <wp:extent cx="5779135" cy="3835400"/>
            <wp:effectExtent l="0" t="0" r="0" b="0"/>
            <wp:wrapSquare wrapText="bothSides"/>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79135" cy="3835400"/>
                    </a:xfrm>
                    <a:prstGeom prst="rect">
                      <a:avLst/>
                    </a:prstGeom>
                  </pic:spPr>
                </pic:pic>
              </a:graphicData>
            </a:graphic>
            <wp14:sizeRelH relativeFrom="page">
              <wp14:pctWidth>0</wp14:pctWidth>
            </wp14:sizeRelH>
            <wp14:sizeRelV relativeFrom="page">
              <wp14:pctHeight>0</wp14:pctHeight>
            </wp14:sizeRelV>
          </wp:anchor>
        </w:drawing>
      </w:r>
      <w:r w:rsidR="001330F8">
        <w:rPr>
          <w:color w:val="1F497D"/>
        </w:rPr>
        <w:t>A KA103-as űrlapokhoz készült egy rövid videó a kitöltéshez, ez a KA107-es program esetén is segítséget nyújthat, mert a pályázatok eleje nagyon hasonló:</w:t>
      </w:r>
      <w:r w:rsidR="00E72FCF">
        <w:rPr>
          <w:color w:val="1F497D"/>
        </w:rPr>
        <w:t xml:space="preserve"> </w:t>
      </w:r>
      <w:hyperlink r:id="rId10" w:history="1">
        <w:r w:rsidR="00E72FCF">
          <w:rPr>
            <w:rStyle w:val="Hiperhivatkozs"/>
          </w:rPr>
          <w:t>https://www.dropbox.com/s/xvhm9l89zhf89ky/KA103_2018.avi?dl=0b</w:t>
        </w:r>
      </w:hyperlink>
      <w:r w:rsidR="00E72FCF">
        <w:rPr>
          <w:color w:val="000000"/>
        </w:rPr>
        <w:t xml:space="preserve"> </w:t>
      </w:r>
    </w:p>
    <w:p w14:paraId="0633F8F4" w14:textId="77777777" w:rsidR="00D1268B" w:rsidRDefault="00D1268B" w:rsidP="00297FE5">
      <w:pPr>
        <w:jc w:val="both"/>
      </w:pPr>
    </w:p>
    <w:p w14:paraId="12E25706" w14:textId="77777777" w:rsidR="00932D54" w:rsidRDefault="00932D54" w:rsidP="00297FE5">
      <w:pPr>
        <w:spacing w:after="240"/>
        <w:jc w:val="both"/>
        <w:rPr>
          <w:b/>
          <w:bCs/>
          <w:highlight w:val="yellow"/>
        </w:rPr>
      </w:pPr>
      <w:r>
        <w:rPr>
          <w:b/>
          <w:bCs/>
          <w:highlight w:val="yellow"/>
        </w:rPr>
        <w:t>Tudjuk-e többen is szerkeszteni a pályázati felületet?</w:t>
      </w:r>
    </w:p>
    <w:p w14:paraId="1031455E" w14:textId="66261054" w:rsidR="00932D54" w:rsidRPr="00932D54" w:rsidRDefault="00932D54" w:rsidP="00297FE5">
      <w:pPr>
        <w:pStyle w:val="Listaszerbekezds"/>
        <w:numPr>
          <w:ilvl w:val="0"/>
          <w:numId w:val="5"/>
        </w:numPr>
        <w:spacing w:after="240" w:line="240" w:lineRule="auto"/>
        <w:jc w:val="both"/>
        <w:rPr>
          <w:b/>
          <w:bCs/>
        </w:rPr>
      </w:pPr>
      <w:r w:rsidRPr="00932D54">
        <w:rPr>
          <w:bCs/>
        </w:rPr>
        <w:t>Sajnos nem. A</w:t>
      </w:r>
      <w:r w:rsidRPr="00932D54">
        <w:rPr>
          <w:b/>
          <w:bCs/>
        </w:rPr>
        <w:t xml:space="preserve"> </w:t>
      </w:r>
      <w:r w:rsidRPr="00932D54">
        <w:rPr>
          <w:lang w:eastAsia="hu-HU"/>
        </w:rPr>
        <w:t>„Sharing”/Megosztás funkció a pályázati felület megosztására szolgál, csak az eredeti felhasználó tudja szerkeszteni a pályázati űrlapot</w:t>
      </w:r>
      <w:r>
        <w:rPr>
          <w:lang w:eastAsia="hu-HU"/>
        </w:rPr>
        <w:t>.</w:t>
      </w:r>
    </w:p>
    <w:p w14:paraId="4D3EE5DD" w14:textId="77777777" w:rsidR="00E72FCF" w:rsidRDefault="00E72FCF" w:rsidP="00297FE5">
      <w:pPr>
        <w:spacing w:after="240"/>
        <w:jc w:val="both"/>
      </w:pPr>
      <w:r w:rsidRPr="00E72FCF">
        <w:rPr>
          <w:b/>
          <w:bCs/>
          <w:highlight w:val="yellow"/>
        </w:rPr>
        <w:t>Lehetséges-e német nyelven beadni a pályázatot?</w:t>
      </w:r>
    </w:p>
    <w:p w14:paraId="01052A67" w14:textId="77777777" w:rsidR="00E72FCF" w:rsidRDefault="00E72FCF" w:rsidP="00297FE5">
      <w:pPr>
        <w:pStyle w:val="Listaszerbekezds"/>
        <w:numPr>
          <w:ilvl w:val="0"/>
          <w:numId w:val="5"/>
        </w:numPr>
        <w:spacing w:after="240"/>
        <w:jc w:val="both"/>
      </w:pPr>
      <w:r>
        <w:t xml:space="preserve">Igen. Általában magyar vagy angol szokott lenni a kitöltés nyelve, de a német nyelvű bírálatot is meg tudjuk oldani. </w:t>
      </w:r>
    </w:p>
    <w:p w14:paraId="3E386019" w14:textId="77777777" w:rsidR="00932D54" w:rsidRPr="00932D54" w:rsidRDefault="00932D54" w:rsidP="00297FE5">
      <w:pPr>
        <w:spacing w:after="240"/>
        <w:jc w:val="both"/>
        <w:rPr>
          <w:b/>
          <w:highlight w:val="yellow"/>
        </w:rPr>
      </w:pPr>
      <w:r w:rsidRPr="00932D54">
        <w:rPr>
          <w:b/>
          <w:highlight w:val="yellow"/>
        </w:rPr>
        <w:t>Be lehet-e nyújtani többször is pályázatot?</w:t>
      </w:r>
    </w:p>
    <w:p w14:paraId="13CB7F25" w14:textId="77777777" w:rsidR="00932D54" w:rsidRPr="00932D54" w:rsidRDefault="00932D54" w:rsidP="00297FE5">
      <w:pPr>
        <w:pStyle w:val="Listaszerbekezds"/>
        <w:numPr>
          <w:ilvl w:val="0"/>
          <w:numId w:val="5"/>
        </w:numPr>
        <w:spacing w:after="240"/>
        <w:jc w:val="both"/>
      </w:pPr>
      <w:r w:rsidRPr="00932D54">
        <w:t xml:space="preserve">Igen. </w:t>
      </w:r>
      <w:r>
        <w:t>Ha egy intézményből több pályázat érkezik be, akkor a határidő előtt</w:t>
      </w:r>
      <w:r w:rsidR="00297FE5">
        <w:t>i utolsó verziót kell figyelembe vennie a Nemzeti Irodának.</w:t>
      </w:r>
      <w:r>
        <w:t xml:space="preserve"> </w:t>
      </w:r>
    </w:p>
    <w:p w14:paraId="00D96824" w14:textId="77777777" w:rsidR="00E72FCF" w:rsidRDefault="00E72FCF" w:rsidP="00297FE5">
      <w:pPr>
        <w:spacing w:after="240"/>
        <w:jc w:val="both"/>
      </w:pPr>
      <w:r w:rsidRPr="00E72FCF">
        <w:rPr>
          <w:highlight w:val="yellow"/>
        </w:rPr>
        <w:lastRenderedPageBreak/>
        <w:t xml:space="preserve">A </w:t>
      </w:r>
      <w:r w:rsidRPr="00E72FCF">
        <w:rPr>
          <w:b/>
          <w:bCs/>
          <w:highlight w:val="yellow"/>
        </w:rPr>
        <w:t>KA103-as programnál az időtartamhoz 16 hónapot kell megadni, ugyanez igaz a KA107-nél is?</w:t>
      </w:r>
      <w:r>
        <w:t xml:space="preserve"> </w:t>
      </w:r>
    </w:p>
    <w:p w14:paraId="2F7CDB4F" w14:textId="77777777" w:rsidR="00E72FCF" w:rsidRDefault="00E72FCF" w:rsidP="00297FE5">
      <w:pPr>
        <w:pStyle w:val="Listaszerbekezds"/>
        <w:numPr>
          <w:ilvl w:val="0"/>
          <w:numId w:val="5"/>
        </w:numPr>
        <w:spacing w:after="240"/>
        <w:jc w:val="both"/>
      </w:pPr>
      <w:r>
        <w:t xml:space="preserve">KA107-nél nyugodtan lehet rögtön 26 hónapra is pályázni. </w:t>
      </w:r>
    </w:p>
    <w:p w14:paraId="63F6424F" w14:textId="77777777" w:rsidR="00E72FCF" w:rsidRDefault="00E72FCF" w:rsidP="00297FE5">
      <w:pPr>
        <w:jc w:val="both"/>
        <w:rPr>
          <w:b/>
          <w:bCs/>
        </w:rPr>
      </w:pPr>
      <w:r w:rsidRPr="00E72FCF">
        <w:rPr>
          <w:b/>
          <w:bCs/>
          <w:highlight w:val="yellow"/>
        </w:rPr>
        <w:t>Ha most beadjuk a KA107-et, akkor jövőre is pályázhatunk?</w:t>
      </w:r>
      <w:r>
        <w:rPr>
          <w:b/>
          <w:bCs/>
        </w:rPr>
        <w:t xml:space="preserve"> </w:t>
      </w:r>
    </w:p>
    <w:p w14:paraId="795AC985" w14:textId="77777777" w:rsidR="00E72FCF" w:rsidRDefault="00E72FCF" w:rsidP="00297FE5">
      <w:pPr>
        <w:pStyle w:val="Listaszerbekezds"/>
        <w:numPr>
          <w:ilvl w:val="0"/>
          <w:numId w:val="5"/>
        </w:numPr>
        <w:jc w:val="both"/>
      </w:pPr>
      <w:r>
        <w:t>Igen. Nem kell megvárni az előző projekt végét, minden évben egymástól függetlenül lehet pályázni.</w:t>
      </w:r>
    </w:p>
    <w:p w14:paraId="2AF1DC5E" w14:textId="77777777" w:rsidR="009B6AB0" w:rsidRDefault="00E72FCF" w:rsidP="00297FE5">
      <w:pPr>
        <w:jc w:val="both"/>
      </w:pPr>
      <w:r>
        <w:rPr>
          <w:b/>
          <w:highlight w:val="yellow"/>
        </w:rPr>
        <w:t xml:space="preserve">Hol tudom megkeresni a partnerek </w:t>
      </w:r>
      <w:r w:rsidR="009B6AB0" w:rsidRPr="0029581E">
        <w:rPr>
          <w:b/>
          <w:highlight w:val="yellow"/>
        </w:rPr>
        <w:t>PIC</w:t>
      </w:r>
      <w:r>
        <w:rPr>
          <w:b/>
          <w:highlight w:val="yellow"/>
        </w:rPr>
        <w:t xml:space="preserve"> kódját</w:t>
      </w:r>
      <w:r>
        <w:rPr>
          <w:b/>
        </w:rPr>
        <w:t>?</w:t>
      </w:r>
    </w:p>
    <w:p w14:paraId="1B9FCF1A" w14:textId="77777777" w:rsidR="009B6AB0" w:rsidRDefault="00991CCA" w:rsidP="00297FE5">
      <w:pPr>
        <w:jc w:val="both"/>
        <w:rPr>
          <w:b/>
        </w:rPr>
      </w:pPr>
      <w:hyperlink r:id="rId11" w:history="1">
        <w:r w:rsidR="009B6AB0" w:rsidRPr="00102671">
          <w:rPr>
            <w:rStyle w:val="Hiperhivatkozs"/>
            <w:b/>
          </w:rPr>
          <w:t>https://ec.europa.eu/research/participants/portal/desktop/en/organisations/register.html</w:t>
        </w:r>
      </w:hyperlink>
    </w:p>
    <w:p w14:paraId="5CD8E0D3" w14:textId="77777777" w:rsidR="009B6AB0" w:rsidRPr="002579AC" w:rsidRDefault="009B6AB0" w:rsidP="00297FE5">
      <w:pPr>
        <w:jc w:val="both"/>
      </w:pPr>
      <w:r w:rsidRPr="002579AC">
        <w:t>(be kell hozzá jelentkezni)</w:t>
      </w:r>
    </w:p>
    <w:p w14:paraId="0735EA54" w14:textId="77777777" w:rsidR="009B6AB0" w:rsidRDefault="009B6AB0" w:rsidP="00297FE5">
      <w:pPr>
        <w:jc w:val="both"/>
        <w:rPr>
          <w:b/>
        </w:rPr>
      </w:pPr>
      <w:r>
        <w:rPr>
          <w:noProof/>
          <w:lang w:eastAsia="hu-HU"/>
        </w:rPr>
        <w:drawing>
          <wp:inline distT="0" distB="0" distL="0" distR="0" wp14:anchorId="7B3BB4DD" wp14:editId="3C9679F2">
            <wp:extent cx="5469147" cy="3257253"/>
            <wp:effectExtent l="0" t="0" r="0" b="63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7236" cy="3262070"/>
                    </a:xfrm>
                    <a:prstGeom prst="rect">
                      <a:avLst/>
                    </a:prstGeom>
                  </pic:spPr>
                </pic:pic>
              </a:graphicData>
            </a:graphic>
          </wp:inline>
        </w:drawing>
      </w:r>
    </w:p>
    <w:p w14:paraId="3A6B4CAB" w14:textId="77777777" w:rsidR="000A318B" w:rsidRPr="00BF2B7C" w:rsidRDefault="000A318B" w:rsidP="00297FE5">
      <w:pPr>
        <w:jc w:val="both"/>
        <w:rPr>
          <w:b/>
        </w:rPr>
      </w:pPr>
      <w:r w:rsidRPr="00BF2B7C">
        <w:rPr>
          <w:b/>
          <w:highlight w:val="yellow"/>
        </w:rPr>
        <w:t xml:space="preserve">Muszáj-e minden </w:t>
      </w:r>
      <w:r w:rsidR="00BF2B7C">
        <w:rPr>
          <w:b/>
          <w:highlight w:val="yellow"/>
        </w:rPr>
        <w:t>tevékenységre (Activity type)</w:t>
      </w:r>
      <w:r w:rsidRPr="00BF2B7C">
        <w:rPr>
          <w:b/>
          <w:highlight w:val="yellow"/>
        </w:rPr>
        <w:t xml:space="preserve"> pályázni a KA107-ben?</w:t>
      </w:r>
    </w:p>
    <w:p w14:paraId="4168FFC8" w14:textId="69B740C5" w:rsidR="00BF2B7C" w:rsidRDefault="00BF2B7C" w:rsidP="00297FE5">
      <w:pPr>
        <w:pStyle w:val="Listaszerbekezds"/>
        <w:numPr>
          <w:ilvl w:val="0"/>
          <w:numId w:val="2"/>
        </w:numPr>
        <w:ind w:left="284"/>
        <w:jc w:val="both"/>
      </w:pPr>
      <w:r w:rsidRPr="00BF2B7C">
        <w:t xml:space="preserve">Nem! Minden pályázó csak olyan </w:t>
      </w:r>
      <w:r>
        <w:t>tevékenységeket (SMS, SMP, STA, STT) és olyan időtartamot jelöljön meg, amit biztosan meg tud valósítani. Ha a pályázat magas színvonalú és a bírálók nem javasolnak csökkentést a létszámban és az időtartamban, akkor a teljes igényelt létszámot és időtartamot kapja meg az intézmény. Nyertes pályázat esetén a későbbiekben lesz</w:t>
      </w:r>
      <w:r w:rsidR="002579AC">
        <w:t xml:space="preserve"> rá</w:t>
      </w:r>
      <w:r>
        <w:t xml:space="preserve"> lehetőség, hogy a tevékenységeket módosítsa az intézmény, amennyiben szükséges.</w:t>
      </w:r>
    </w:p>
    <w:p w14:paraId="74297651" w14:textId="77777777" w:rsidR="00297FE5" w:rsidRPr="00297FE5" w:rsidRDefault="00297FE5" w:rsidP="00297FE5">
      <w:pPr>
        <w:jc w:val="both"/>
        <w:rPr>
          <w:b/>
        </w:rPr>
      </w:pPr>
      <w:r w:rsidRPr="00297FE5">
        <w:rPr>
          <w:b/>
          <w:highlight w:val="yellow"/>
        </w:rPr>
        <w:t>A KA107-nél is fontos a tevékenységek sorrendje?</w:t>
      </w:r>
    </w:p>
    <w:p w14:paraId="75ACF962" w14:textId="37BC0239" w:rsidR="00297FE5" w:rsidRDefault="00297FE5" w:rsidP="00297FE5">
      <w:pPr>
        <w:pStyle w:val="Listaszerbekezds"/>
        <w:numPr>
          <w:ilvl w:val="0"/>
          <w:numId w:val="5"/>
        </w:numPr>
        <w:jc w:val="both"/>
      </w:pPr>
      <w:r>
        <w:t xml:space="preserve">Igen. A KA103-hoz hasonlóan, </w:t>
      </w:r>
      <w:r w:rsidR="00061960">
        <w:t xml:space="preserve">2018-tól </w:t>
      </w:r>
      <w:r>
        <w:t xml:space="preserve">itt is kérnénk, hogy </w:t>
      </w:r>
      <w:r w:rsidR="00061960">
        <w:t>a</w:t>
      </w:r>
      <w:r>
        <w:t xml:space="preserve"> megpályázott tevékenységek </w:t>
      </w:r>
      <w:r w:rsidR="00061960">
        <w:t>az alábbi sorrendet kövessék (amire nem pályázik, azt ki kell hagyni):</w:t>
      </w:r>
    </w:p>
    <w:p w14:paraId="07E81D77" w14:textId="77777777" w:rsidR="00061960" w:rsidRPr="00061960" w:rsidRDefault="00061960" w:rsidP="00061960">
      <w:pPr>
        <w:pStyle w:val="Listaszerbekezds"/>
        <w:numPr>
          <w:ilvl w:val="1"/>
          <w:numId w:val="5"/>
        </w:numPr>
        <w:jc w:val="both"/>
      </w:pPr>
      <w:r>
        <w:t xml:space="preserve">SMS – </w:t>
      </w:r>
      <w:r w:rsidRPr="00061960">
        <w:rPr>
          <w:bCs/>
        </w:rPr>
        <w:t>hallgatói tanulmányi célú mobilitás</w:t>
      </w:r>
    </w:p>
    <w:p w14:paraId="6EBF1141" w14:textId="77777777" w:rsidR="00061960" w:rsidRPr="00061960" w:rsidRDefault="00061960" w:rsidP="00061960">
      <w:pPr>
        <w:pStyle w:val="Listaszerbekezds"/>
        <w:numPr>
          <w:ilvl w:val="1"/>
          <w:numId w:val="5"/>
        </w:numPr>
        <w:jc w:val="both"/>
      </w:pPr>
      <w:r w:rsidRPr="00061960">
        <w:t xml:space="preserve">SMP – </w:t>
      </w:r>
      <w:r w:rsidRPr="00061960">
        <w:rPr>
          <w:bCs/>
        </w:rPr>
        <w:t>hallgatói szakmai gyakorlat</w:t>
      </w:r>
    </w:p>
    <w:p w14:paraId="3305DF34" w14:textId="77777777" w:rsidR="00061960" w:rsidRPr="00061960" w:rsidRDefault="00061960" w:rsidP="00061960">
      <w:pPr>
        <w:pStyle w:val="Listaszerbekezds"/>
        <w:numPr>
          <w:ilvl w:val="1"/>
          <w:numId w:val="5"/>
        </w:numPr>
        <w:jc w:val="both"/>
      </w:pPr>
      <w:r w:rsidRPr="00061960">
        <w:t xml:space="preserve">STA - </w:t>
      </w:r>
      <w:r w:rsidRPr="00061960">
        <w:rPr>
          <w:bCs/>
        </w:rPr>
        <w:t>személyzeti oktatási célú mobilitá</w:t>
      </w:r>
      <w:r>
        <w:rPr>
          <w:bCs/>
        </w:rPr>
        <w:t>s</w:t>
      </w:r>
    </w:p>
    <w:p w14:paraId="035099A6" w14:textId="77777777" w:rsidR="00061960" w:rsidRPr="00061960" w:rsidRDefault="00061960" w:rsidP="00061960">
      <w:pPr>
        <w:pStyle w:val="Listaszerbekezds"/>
        <w:numPr>
          <w:ilvl w:val="1"/>
          <w:numId w:val="5"/>
        </w:numPr>
        <w:jc w:val="both"/>
      </w:pPr>
      <w:r w:rsidRPr="00061960">
        <w:t xml:space="preserve">STT </w:t>
      </w:r>
      <w:r w:rsidRPr="00061960">
        <w:rPr>
          <w:bCs/>
        </w:rPr>
        <w:t>személyzeti képzési célú mobilitás</w:t>
      </w:r>
    </w:p>
    <w:p w14:paraId="46231AEB" w14:textId="77777777" w:rsidR="00297FE5" w:rsidRDefault="00BF2B7C" w:rsidP="00297FE5">
      <w:pPr>
        <w:jc w:val="both"/>
      </w:pPr>
      <w:r w:rsidRPr="00317B87">
        <w:rPr>
          <w:b/>
          <w:highlight w:val="yellow"/>
        </w:rPr>
        <w:t>Mire kell figyelni az időtartam igénylésekor?</w:t>
      </w:r>
      <w:r w:rsidR="0021535E" w:rsidRPr="0021535E">
        <w:t xml:space="preserve"> </w:t>
      </w:r>
    </w:p>
    <w:p w14:paraId="4BCC8A41" w14:textId="77777777" w:rsidR="00297FE5" w:rsidRDefault="00297FE5" w:rsidP="00297FE5">
      <w:pPr>
        <w:pStyle w:val="Listaszerbekezds"/>
        <w:numPr>
          <w:ilvl w:val="0"/>
          <w:numId w:val="5"/>
        </w:numPr>
        <w:jc w:val="both"/>
      </w:pPr>
      <w:r>
        <w:t xml:space="preserve">Az időtartamot az </w:t>
      </w:r>
      <w:r w:rsidRPr="00297FE5">
        <w:rPr>
          <w:u w:val="single"/>
        </w:rPr>
        <w:t>összlétszámra vonatkozóan</w:t>
      </w:r>
      <w:r>
        <w:t xml:space="preserve"> kell megadni minden mobilitás esetén. Vannak azonban minimum és maximum értékek, amit figyelembe kell venni. </w:t>
      </w:r>
    </w:p>
    <w:p w14:paraId="00E0CB24" w14:textId="77777777" w:rsidR="00BF2B7C" w:rsidRDefault="006F078A" w:rsidP="00061960">
      <w:pPr>
        <w:jc w:val="both"/>
      </w:pPr>
      <w:r w:rsidRPr="00317B87">
        <w:rPr>
          <w:noProof/>
          <w:lang w:eastAsia="hu-HU"/>
        </w:rPr>
        <w:lastRenderedPageBreak/>
        <w:drawing>
          <wp:anchor distT="0" distB="0" distL="114300" distR="114300" simplePos="0" relativeHeight="251664384" behindDoc="0" locked="0" layoutInCell="1" allowOverlap="1" wp14:anchorId="73D115E6" wp14:editId="3742025B">
            <wp:simplePos x="0" y="0"/>
            <wp:positionH relativeFrom="column">
              <wp:posOffset>0</wp:posOffset>
            </wp:positionH>
            <wp:positionV relativeFrom="paragraph">
              <wp:posOffset>3189557</wp:posOffset>
            </wp:positionV>
            <wp:extent cx="5753735" cy="2383790"/>
            <wp:effectExtent l="0" t="0" r="0" b="0"/>
            <wp:wrapSquare wrapText="bothSides"/>
            <wp:docPr id="4" name="Kép 4" descr="C:\Users\kantal\Desktop\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tal\Desktop\ST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2383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960">
        <w:rPr>
          <w:noProof/>
          <w:lang w:eastAsia="hu-HU"/>
        </w:rPr>
        <w:drawing>
          <wp:anchor distT="0" distB="0" distL="114300" distR="114300" simplePos="0" relativeHeight="251658240" behindDoc="0" locked="0" layoutInCell="1" allowOverlap="1" wp14:anchorId="7A6122D0" wp14:editId="7B8189E2">
            <wp:simplePos x="0" y="0"/>
            <wp:positionH relativeFrom="column">
              <wp:posOffset>-3175</wp:posOffset>
            </wp:positionH>
            <wp:positionV relativeFrom="paragraph">
              <wp:posOffset>823595</wp:posOffset>
            </wp:positionV>
            <wp:extent cx="5718810" cy="2210435"/>
            <wp:effectExtent l="0" t="0" r="0" b="0"/>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18810" cy="2210435"/>
                    </a:xfrm>
                    <a:prstGeom prst="rect">
                      <a:avLst/>
                    </a:prstGeom>
                  </pic:spPr>
                </pic:pic>
              </a:graphicData>
            </a:graphic>
            <wp14:sizeRelH relativeFrom="page">
              <wp14:pctWidth>0</wp14:pctWidth>
            </wp14:sizeRelH>
            <wp14:sizeRelV relativeFrom="page">
              <wp14:pctHeight>0</wp14:pctHeight>
            </wp14:sizeRelV>
          </wp:anchor>
        </w:drawing>
      </w:r>
      <w:r w:rsidR="00317B87">
        <w:t>SMS-nél 1 főre vetítve 3-12 hó között kell lennie a mobilitásnak, SMP esetén 2-12 hó, személyzet esetén pedig (STA és STT) minimum 5 nap, maximum 60 nap a feltétel. Hallgatók esetén a plusz napok igénylése opcionális, nem kötelező, illetve személyzet esetén is opcionális az utazási napok igénylése (lehet 0 is, de max. 2 nap/fő).</w:t>
      </w:r>
    </w:p>
    <w:p w14:paraId="4ADDCA4B" w14:textId="77777777" w:rsidR="006F078A" w:rsidRDefault="006F078A" w:rsidP="00061960">
      <w:pPr>
        <w:spacing w:before="120"/>
        <w:jc w:val="both"/>
        <w:rPr>
          <w:b/>
          <w:highlight w:val="yellow"/>
        </w:rPr>
      </w:pPr>
    </w:p>
    <w:p w14:paraId="39A66B26" w14:textId="77777777" w:rsidR="009B6AB0" w:rsidRDefault="001330F8" w:rsidP="00061960">
      <w:pPr>
        <w:spacing w:before="120"/>
        <w:jc w:val="both"/>
        <w:rPr>
          <w:b/>
        </w:rPr>
      </w:pPr>
      <w:r>
        <w:rPr>
          <w:b/>
          <w:highlight w:val="yellow"/>
        </w:rPr>
        <w:t xml:space="preserve">Hol tudom jelölni, hogy </w:t>
      </w:r>
      <w:r w:rsidR="009B6AB0" w:rsidRPr="0029581E">
        <w:rPr>
          <w:b/>
          <w:highlight w:val="yellow"/>
        </w:rPr>
        <w:t>Heading1</w:t>
      </w:r>
      <w:r>
        <w:rPr>
          <w:b/>
          <w:highlight w:val="yellow"/>
        </w:rPr>
        <w:t>-ra is pályázunk?</w:t>
      </w:r>
    </w:p>
    <w:p w14:paraId="4069762F" w14:textId="77777777" w:rsidR="0029581E" w:rsidRDefault="009B6AB0" w:rsidP="00297FE5">
      <w:pPr>
        <w:jc w:val="both"/>
      </w:pPr>
      <w:r>
        <w:t xml:space="preserve">A DCI és EDF országok esetén érintett BsC és MsC kiutazó </w:t>
      </w:r>
      <w:r w:rsidRPr="009B6AB0">
        <w:t>hallgató</w:t>
      </w:r>
      <w:r>
        <w:t xml:space="preserve">k </w:t>
      </w:r>
      <w:r w:rsidR="0029581E">
        <w:t xml:space="preserve">Heading1 igénylését a hallgatói </w:t>
      </w:r>
      <w:r w:rsidRPr="009B6AB0">
        <w:t>flow</w:t>
      </w:r>
      <w:r w:rsidR="0029581E">
        <w:t xml:space="preserve">nál kell megadni „Short, first and second cycle outgoing mobility”: </w:t>
      </w:r>
    </w:p>
    <w:p w14:paraId="28E7B9B3" w14:textId="77777777" w:rsidR="009B6AB0" w:rsidRDefault="0029581E" w:rsidP="00297FE5">
      <w:pPr>
        <w:pStyle w:val="Listaszerbekezds"/>
        <w:numPr>
          <w:ilvl w:val="0"/>
          <w:numId w:val="1"/>
        </w:numPr>
        <w:jc w:val="both"/>
      </w:pPr>
      <w:r>
        <w:t>YES esetén BsC és MsC hallgatókra pályázik az intézmény</w:t>
      </w:r>
      <w:r w:rsidR="00D1268B">
        <w:t xml:space="preserve"> (Heading1 keret)</w:t>
      </w:r>
    </w:p>
    <w:p w14:paraId="5CCBCC96" w14:textId="77777777" w:rsidR="0029581E" w:rsidRPr="009B6AB0" w:rsidRDefault="0029581E" w:rsidP="00297FE5">
      <w:pPr>
        <w:pStyle w:val="Listaszerbekezds"/>
        <w:numPr>
          <w:ilvl w:val="0"/>
          <w:numId w:val="1"/>
        </w:numPr>
        <w:jc w:val="both"/>
      </w:pPr>
      <w:proofErr w:type="gramStart"/>
      <w:r>
        <w:t>NO</w:t>
      </w:r>
      <w:proofErr w:type="gramEnd"/>
      <w:r>
        <w:t xml:space="preserve"> esetén PhD hallgatókra pályázik az intézmény</w:t>
      </w:r>
      <w:r w:rsidR="00D1268B">
        <w:t xml:space="preserve"> (Heading4 keret)</w:t>
      </w:r>
    </w:p>
    <w:p w14:paraId="1174780D" w14:textId="77777777" w:rsidR="0029581E" w:rsidRDefault="006F078A" w:rsidP="00297FE5">
      <w:pPr>
        <w:jc w:val="both"/>
        <w:rPr>
          <w:b/>
        </w:rPr>
      </w:pPr>
      <w:r>
        <w:rPr>
          <w:noProof/>
          <w:lang w:eastAsia="hu-HU"/>
        </w:rPr>
        <w:lastRenderedPageBreak/>
        <w:drawing>
          <wp:inline distT="0" distB="0" distL="0" distR="0" wp14:anchorId="33939AEA" wp14:editId="40AAC791">
            <wp:extent cx="5760720" cy="193167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931670"/>
                    </a:xfrm>
                    <a:prstGeom prst="rect">
                      <a:avLst/>
                    </a:prstGeom>
                  </pic:spPr>
                </pic:pic>
              </a:graphicData>
            </a:graphic>
          </wp:inline>
        </w:drawing>
      </w:r>
    </w:p>
    <w:p w14:paraId="3C2E513B" w14:textId="77777777" w:rsidR="00D1268B" w:rsidRDefault="001330F8" w:rsidP="00297FE5">
      <w:pPr>
        <w:jc w:val="both"/>
        <w:rPr>
          <w:b/>
        </w:rPr>
      </w:pPr>
      <w:r w:rsidRPr="000A318B">
        <w:rPr>
          <w:b/>
          <w:highlight w:val="yellow"/>
        </w:rPr>
        <w:t>Mely országok tartoznak bele a DCI és EDF régiókba?</w:t>
      </w:r>
    </w:p>
    <w:p w14:paraId="57EF1B59" w14:textId="64BEFA6F" w:rsidR="001330F8" w:rsidRPr="000A318B" w:rsidRDefault="000A318B" w:rsidP="00297FE5">
      <w:pPr>
        <w:jc w:val="both"/>
      </w:pPr>
      <w:r w:rsidRPr="000A318B">
        <w:t>Az alábbi országok tartoznak a DCI és EDF régiókba. Egyedül a DCI South Africa régióba tartozó Dél-Afrika esetén van egy olyan másodlagos kritérium vagy hazai prioritás, hogy ide csak kiutazó PhD vagy STA/STT mobilitásokat tud támogatni</w:t>
      </w:r>
      <w:r w:rsidR="00EB0949">
        <w:t xml:space="preserve"> a </w:t>
      </w:r>
      <w:r w:rsidR="002579AC">
        <w:t>N</w:t>
      </w:r>
      <w:r w:rsidR="00EB0949">
        <w:t xml:space="preserve">emzeti </w:t>
      </w:r>
      <w:r w:rsidR="002579AC">
        <w:t>I</w:t>
      </w:r>
      <w:r w:rsidR="00EB0949">
        <w:t>roda</w:t>
      </w:r>
      <w:r w:rsidRPr="000A318B">
        <w:t>, kiutazó BsC és MsC hallgatói mobilitásokat nem.</w:t>
      </w:r>
    </w:p>
    <w:tbl>
      <w:tblPr>
        <w:tblW w:w="9062" w:type="dxa"/>
        <w:jc w:val="center"/>
        <w:tblCellMar>
          <w:left w:w="70" w:type="dxa"/>
          <w:right w:w="70" w:type="dxa"/>
        </w:tblCellMar>
        <w:tblLook w:val="04A0" w:firstRow="1" w:lastRow="0" w:firstColumn="1" w:lastColumn="0" w:noHBand="0" w:noVBand="1"/>
      </w:tblPr>
      <w:tblGrid>
        <w:gridCol w:w="1583"/>
        <w:gridCol w:w="1835"/>
        <w:gridCol w:w="5644"/>
      </w:tblGrid>
      <w:tr w:rsidR="000A318B" w:rsidRPr="000A318B" w14:paraId="18F96075" w14:textId="77777777" w:rsidTr="000A318B">
        <w:trPr>
          <w:trHeight w:val="634"/>
          <w:jc w:val="center"/>
        </w:trPr>
        <w:tc>
          <w:tcPr>
            <w:tcW w:w="1550" w:type="dxa"/>
            <w:tcBorders>
              <w:top w:val="single" w:sz="8" w:space="0" w:color="auto"/>
              <w:left w:val="single" w:sz="8" w:space="0" w:color="auto"/>
              <w:bottom w:val="single" w:sz="8" w:space="0" w:color="000000"/>
              <w:right w:val="single" w:sz="4" w:space="0" w:color="auto"/>
            </w:tcBorders>
            <w:shd w:val="clear" w:color="auto" w:fill="FFD966" w:themeFill="accent4" w:themeFillTint="99"/>
            <w:vAlign w:val="center"/>
          </w:tcPr>
          <w:p w14:paraId="0AF91A26" w14:textId="77777777" w:rsidR="000A318B" w:rsidRPr="000A318B" w:rsidRDefault="000A318B" w:rsidP="00297FE5">
            <w:pPr>
              <w:spacing w:after="0" w:line="240" w:lineRule="auto"/>
              <w:jc w:val="both"/>
              <w:rPr>
                <w:rFonts w:ascii="Calibri" w:eastAsia="Times New Roman" w:hAnsi="Calibri" w:cs="Times New Roman"/>
                <w:b/>
                <w:color w:val="000000"/>
                <w:lang w:eastAsia="hu-HU"/>
              </w:rPr>
            </w:pPr>
            <w:r>
              <w:rPr>
                <w:rFonts w:ascii="Calibri" w:eastAsia="Times New Roman" w:hAnsi="Calibri" w:cs="Times New Roman"/>
                <w:b/>
                <w:color w:val="000000"/>
                <w:lang w:eastAsia="hu-HU"/>
              </w:rPr>
              <w:t>Költségvetési eszköz</w:t>
            </w:r>
          </w:p>
        </w:tc>
        <w:tc>
          <w:tcPr>
            <w:tcW w:w="1842" w:type="dxa"/>
            <w:tcBorders>
              <w:top w:val="single" w:sz="8" w:space="0" w:color="auto"/>
              <w:left w:val="nil"/>
              <w:bottom w:val="single" w:sz="4" w:space="0" w:color="auto"/>
              <w:right w:val="single" w:sz="4" w:space="0" w:color="auto"/>
            </w:tcBorders>
            <w:shd w:val="clear" w:color="auto" w:fill="FFD966" w:themeFill="accent4" w:themeFillTint="99"/>
            <w:vAlign w:val="center"/>
          </w:tcPr>
          <w:p w14:paraId="116CDE1A" w14:textId="77777777" w:rsidR="000A318B" w:rsidRPr="000A318B" w:rsidRDefault="000A318B" w:rsidP="00297FE5">
            <w:pPr>
              <w:spacing w:after="0" w:line="240" w:lineRule="auto"/>
              <w:jc w:val="both"/>
              <w:rPr>
                <w:rFonts w:ascii="Calibri" w:eastAsia="Times New Roman" w:hAnsi="Calibri" w:cs="Times New Roman"/>
                <w:b/>
                <w:color w:val="000000"/>
                <w:lang w:eastAsia="hu-HU"/>
              </w:rPr>
            </w:pPr>
            <w:r w:rsidRPr="000A318B">
              <w:rPr>
                <w:rFonts w:ascii="Calibri" w:eastAsia="Times New Roman" w:hAnsi="Calibri" w:cs="Times New Roman"/>
                <w:b/>
                <w:color w:val="000000"/>
                <w:lang w:eastAsia="hu-HU"/>
              </w:rPr>
              <w:t>Régió</w:t>
            </w:r>
          </w:p>
        </w:tc>
        <w:tc>
          <w:tcPr>
            <w:tcW w:w="5670" w:type="dxa"/>
            <w:tcBorders>
              <w:top w:val="single" w:sz="8" w:space="0" w:color="auto"/>
              <w:left w:val="nil"/>
              <w:bottom w:val="single" w:sz="4" w:space="0" w:color="auto"/>
              <w:right w:val="single" w:sz="8" w:space="0" w:color="auto"/>
            </w:tcBorders>
            <w:shd w:val="clear" w:color="auto" w:fill="FFD966" w:themeFill="accent4" w:themeFillTint="99"/>
            <w:vAlign w:val="center"/>
          </w:tcPr>
          <w:p w14:paraId="18914B10" w14:textId="77777777" w:rsidR="000A318B" w:rsidRPr="000A318B" w:rsidRDefault="000A318B" w:rsidP="00297FE5">
            <w:pPr>
              <w:spacing w:after="0" w:line="240" w:lineRule="auto"/>
              <w:ind w:right="1456"/>
              <w:jc w:val="both"/>
              <w:rPr>
                <w:rFonts w:ascii="Calibri" w:eastAsia="Times New Roman" w:hAnsi="Calibri" w:cs="Times New Roman"/>
                <w:b/>
                <w:color w:val="000000"/>
                <w:lang w:eastAsia="hu-HU"/>
              </w:rPr>
            </w:pPr>
            <w:r w:rsidRPr="000A318B">
              <w:rPr>
                <w:rFonts w:ascii="Calibri" w:eastAsia="Times New Roman" w:hAnsi="Calibri" w:cs="Times New Roman"/>
                <w:b/>
                <w:color w:val="000000"/>
                <w:lang w:eastAsia="hu-HU"/>
              </w:rPr>
              <w:t>Országok</w:t>
            </w:r>
          </w:p>
        </w:tc>
      </w:tr>
      <w:tr w:rsidR="000A318B" w:rsidRPr="000A318B" w14:paraId="4726DC55" w14:textId="77777777" w:rsidTr="000A318B">
        <w:trPr>
          <w:trHeight w:val="1200"/>
          <w:jc w:val="center"/>
        </w:trPr>
        <w:tc>
          <w:tcPr>
            <w:tcW w:w="1550" w:type="dxa"/>
            <w:vMerge w:val="restart"/>
            <w:tcBorders>
              <w:top w:val="single" w:sz="8" w:space="0" w:color="auto"/>
              <w:left w:val="single" w:sz="8" w:space="0" w:color="auto"/>
              <w:bottom w:val="single" w:sz="8" w:space="0" w:color="000000"/>
              <w:right w:val="single" w:sz="4" w:space="0" w:color="auto"/>
            </w:tcBorders>
            <w:shd w:val="clear" w:color="auto" w:fill="FFD966" w:themeFill="accent4" w:themeFillTint="99"/>
            <w:vAlign w:val="center"/>
            <w:hideMark/>
          </w:tcPr>
          <w:p w14:paraId="31F63276"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b/>
                <w:color w:val="000000"/>
                <w:lang w:eastAsia="hu-HU"/>
              </w:rPr>
              <w:t>DCI</w:t>
            </w:r>
            <w:r w:rsidRPr="000A318B">
              <w:rPr>
                <w:rFonts w:ascii="Calibri" w:eastAsia="Times New Roman" w:hAnsi="Calibri" w:cs="Times New Roman"/>
                <w:color w:val="000000"/>
                <w:lang w:eastAsia="hu-HU"/>
              </w:rPr>
              <w:br/>
              <w:t>(Development Co-operation Instrument)</w:t>
            </w:r>
            <w:r w:rsidRPr="000A318B">
              <w:rPr>
                <w:rFonts w:ascii="Calibri" w:eastAsia="Times New Roman" w:hAnsi="Calibri" w:cs="Times New Roman"/>
                <w:color w:val="000000"/>
                <w:lang w:eastAsia="hu-HU"/>
              </w:rPr>
              <w:br/>
              <w:t>Fejlesztési Együttműködési Eszköz</w:t>
            </w:r>
          </w:p>
        </w:tc>
        <w:tc>
          <w:tcPr>
            <w:tcW w:w="1842" w:type="dxa"/>
            <w:tcBorders>
              <w:top w:val="single" w:sz="8" w:space="0" w:color="auto"/>
              <w:left w:val="nil"/>
              <w:bottom w:val="single" w:sz="4" w:space="0" w:color="auto"/>
              <w:right w:val="single" w:sz="4" w:space="0" w:color="auto"/>
            </w:tcBorders>
            <w:shd w:val="clear" w:color="auto" w:fill="FFD966" w:themeFill="accent4" w:themeFillTint="99"/>
            <w:vAlign w:val="center"/>
            <w:hideMark/>
          </w:tcPr>
          <w:p w14:paraId="4CFA970F"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DCI ASIA</w:t>
            </w:r>
            <w:r w:rsidRPr="000A318B">
              <w:rPr>
                <w:rFonts w:ascii="Calibri" w:eastAsia="Times New Roman" w:hAnsi="Calibri" w:cs="Times New Roman"/>
                <w:color w:val="000000"/>
                <w:lang w:eastAsia="hu-HU"/>
              </w:rPr>
              <w:br/>
              <w:t>(Region 6)</w:t>
            </w:r>
          </w:p>
        </w:tc>
        <w:tc>
          <w:tcPr>
            <w:tcW w:w="5670" w:type="dxa"/>
            <w:tcBorders>
              <w:top w:val="single" w:sz="8" w:space="0" w:color="auto"/>
              <w:left w:val="nil"/>
              <w:bottom w:val="single" w:sz="4" w:space="0" w:color="auto"/>
              <w:right w:val="single" w:sz="8" w:space="0" w:color="auto"/>
            </w:tcBorders>
            <w:shd w:val="clear" w:color="auto" w:fill="FFD966" w:themeFill="accent4" w:themeFillTint="99"/>
            <w:vAlign w:val="center"/>
            <w:hideMark/>
          </w:tcPr>
          <w:p w14:paraId="4481EB26" w14:textId="77777777" w:rsidR="000A318B" w:rsidRPr="000A318B" w:rsidRDefault="000A318B" w:rsidP="00297FE5">
            <w:pPr>
              <w:spacing w:after="0" w:line="240" w:lineRule="auto"/>
              <w:ind w:right="76"/>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 xml:space="preserve">Afghanistan, Bangladesh, Bhutan, Cambodia, </w:t>
            </w:r>
            <w:r w:rsidR="00297FE5">
              <w:rPr>
                <w:rFonts w:ascii="Calibri" w:eastAsia="Times New Roman" w:hAnsi="Calibri" w:cs="Times New Roman"/>
                <w:color w:val="000000"/>
                <w:lang w:eastAsia="hu-HU"/>
              </w:rPr>
              <w:t>C</w:t>
            </w:r>
            <w:r w:rsidRPr="000A318B">
              <w:rPr>
                <w:rFonts w:ascii="Calibri" w:eastAsia="Times New Roman" w:hAnsi="Calibri" w:cs="Times New Roman"/>
                <w:color w:val="000000"/>
                <w:lang w:eastAsia="hu-HU"/>
              </w:rPr>
              <w:t>hina, DPR Korea, India, Indonesia, Laos, Malaysia, Maldives, Mongolia, Myanmar, Nepal, Pakistan, Philippines, Sri Lanka, Thailand, Vietnam</w:t>
            </w:r>
          </w:p>
        </w:tc>
      </w:tr>
      <w:tr w:rsidR="000A318B" w:rsidRPr="000A318B" w14:paraId="0CA19301" w14:textId="77777777" w:rsidTr="000A318B">
        <w:trPr>
          <w:trHeight w:val="600"/>
          <w:jc w:val="center"/>
        </w:trPr>
        <w:tc>
          <w:tcPr>
            <w:tcW w:w="1550" w:type="dxa"/>
            <w:vMerge/>
            <w:tcBorders>
              <w:top w:val="single" w:sz="8" w:space="0" w:color="auto"/>
              <w:left w:val="single" w:sz="8" w:space="0" w:color="auto"/>
              <w:bottom w:val="single" w:sz="8" w:space="0" w:color="000000"/>
              <w:right w:val="single" w:sz="4" w:space="0" w:color="auto"/>
            </w:tcBorders>
            <w:shd w:val="clear" w:color="auto" w:fill="FFD966" w:themeFill="accent4" w:themeFillTint="99"/>
            <w:vAlign w:val="center"/>
            <w:hideMark/>
          </w:tcPr>
          <w:p w14:paraId="38DF8651"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p>
        </w:tc>
        <w:tc>
          <w:tcPr>
            <w:tcW w:w="1842" w:type="dxa"/>
            <w:tcBorders>
              <w:top w:val="nil"/>
              <w:left w:val="nil"/>
              <w:bottom w:val="single" w:sz="4" w:space="0" w:color="auto"/>
              <w:right w:val="single" w:sz="4" w:space="0" w:color="auto"/>
            </w:tcBorders>
            <w:shd w:val="clear" w:color="auto" w:fill="FFD966" w:themeFill="accent4" w:themeFillTint="99"/>
            <w:vAlign w:val="center"/>
            <w:hideMark/>
          </w:tcPr>
          <w:p w14:paraId="7230984E"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DCI CENTRAL ASIA</w:t>
            </w:r>
            <w:r w:rsidRPr="000A318B">
              <w:rPr>
                <w:rFonts w:ascii="Calibri" w:eastAsia="Times New Roman" w:hAnsi="Calibri" w:cs="Times New Roman"/>
                <w:color w:val="000000"/>
                <w:lang w:eastAsia="hu-HU"/>
              </w:rPr>
              <w:br/>
              <w:t>(Region 7)</w:t>
            </w:r>
          </w:p>
        </w:tc>
        <w:tc>
          <w:tcPr>
            <w:tcW w:w="5670" w:type="dxa"/>
            <w:tcBorders>
              <w:top w:val="nil"/>
              <w:left w:val="nil"/>
              <w:bottom w:val="single" w:sz="4" w:space="0" w:color="auto"/>
              <w:right w:val="single" w:sz="8" w:space="0" w:color="auto"/>
            </w:tcBorders>
            <w:shd w:val="clear" w:color="auto" w:fill="FFD966" w:themeFill="accent4" w:themeFillTint="99"/>
            <w:vAlign w:val="center"/>
            <w:hideMark/>
          </w:tcPr>
          <w:p w14:paraId="4D4FE218" w14:textId="77777777" w:rsidR="000A318B" w:rsidRPr="000A318B" w:rsidRDefault="000A318B" w:rsidP="00297FE5">
            <w:pPr>
              <w:spacing w:after="0" w:line="240" w:lineRule="auto"/>
              <w:ind w:right="76"/>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Kazakhstan, Kyrgyzstan, Tajikistan, Turkmenistan, Uzbekistan</w:t>
            </w:r>
          </w:p>
        </w:tc>
      </w:tr>
      <w:tr w:rsidR="000A318B" w:rsidRPr="000A318B" w14:paraId="6B2DF22D" w14:textId="77777777" w:rsidTr="000A318B">
        <w:trPr>
          <w:trHeight w:val="900"/>
          <w:jc w:val="center"/>
        </w:trPr>
        <w:tc>
          <w:tcPr>
            <w:tcW w:w="1550" w:type="dxa"/>
            <w:vMerge/>
            <w:tcBorders>
              <w:top w:val="single" w:sz="8" w:space="0" w:color="auto"/>
              <w:left w:val="single" w:sz="8" w:space="0" w:color="auto"/>
              <w:bottom w:val="single" w:sz="8" w:space="0" w:color="000000"/>
              <w:right w:val="single" w:sz="4" w:space="0" w:color="auto"/>
            </w:tcBorders>
            <w:shd w:val="clear" w:color="auto" w:fill="FFD966" w:themeFill="accent4" w:themeFillTint="99"/>
            <w:vAlign w:val="center"/>
            <w:hideMark/>
          </w:tcPr>
          <w:p w14:paraId="2D915080"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p>
        </w:tc>
        <w:tc>
          <w:tcPr>
            <w:tcW w:w="1842" w:type="dxa"/>
            <w:tcBorders>
              <w:top w:val="nil"/>
              <w:left w:val="nil"/>
              <w:bottom w:val="single" w:sz="4" w:space="0" w:color="auto"/>
              <w:right w:val="single" w:sz="4" w:space="0" w:color="auto"/>
            </w:tcBorders>
            <w:shd w:val="clear" w:color="auto" w:fill="FFD966" w:themeFill="accent4" w:themeFillTint="99"/>
            <w:vAlign w:val="center"/>
            <w:hideMark/>
          </w:tcPr>
          <w:p w14:paraId="3ACA0EC0"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DCI LATIN AMERICA</w:t>
            </w:r>
            <w:r w:rsidRPr="000A318B">
              <w:rPr>
                <w:rFonts w:ascii="Calibri" w:eastAsia="Times New Roman" w:hAnsi="Calibri" w:cs="Times New Roman"/>
                <w:color w:val="000000"/>
                <w:lang w:eastAsia="hu-HU"/>
              </w:rPr>
              <w:br/>
              <w:t>(Region 8)</w:t>
            </w:r>
          </w:p>
        </w:tc>
        <w:tc>
          <w:tcPr>
            <w:tcW w:w="5670" w:type="dxa"/>
            <w:tcBorders>
              <w:top w:val="nil"/>
              <w:left w:val="nil"/>
              <w:bottom w:val="single" w:sz="4" w:space="0" w:color="auto"/>
              <w:right w:val="single" w:sz="8" w:space="0" w:color="auto"/>
            </w:tcBorders>
            <w:shd w:val="clear" w:color="auto" w:fill="FFD966" w:themeFill="accent4" w:themeFillTint="99"/>
            <w:vAlign w:val="center"/>
            <w:hideMark/>
          </w:tcPr>
          <w:p w14:paraId="74A4A3D4" w14:textId="77777777" w:rsidR="000A318B" w:rsidRPr="000A318B" w:rsidRDefault="000A318B" w:rsidP="00297FE5">
            <w:pPr>
              <w:spacing w:after="0" w:line="240" w:lineRule="auto"/>
              <w:ind w:right="76"/>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Argentina, Bolivia, Brazil, Chile, Colombia, Costa Rica, Cuba, Ecuador, El Salvador, Guatemala, Honduras, Mexico, Nicaragua, Panama, Paraguay, Peru, Urugay, Venezuela</w:t>
            </w:r>
          </w:p>
        </w:tc>
      </w:tr>
      <w:tr w:rsidR="000A318B" w:rsidRPr="000A318B" w14:paraId="7DBBBF10" w14:textId="77777777" w:rsidTr="000A318B">
        <w:trPr>
          <w:trHeight w:val="600"/>
          <w:jc w:val="center"/>
        </w:trPr>
        <w:tc>
          <w:tcPr>
            <w:tcW w:w="1550" w:type="dxa"/>
            <w:vMerge/>
            <w:tcBorders>
              <w:top w:val="single" w:sz="8" w:space="0" w:color="auto"/>
              <w:left w:val="single" w:sz="8" w:space="0" w:color="auto"/>
              <w:bottom w:val="single" w:sz="8" w:space="0" w:color="000000"/>
              <w:right w:val="single" w:sz="4" w:space="0" w:color="auto"/>
            </w:tcBorders>
            <w:shd w:val="clear" w:color="auto" w:fill="FFD966" w:themeFill="accent4" w:themeFillTint="99"/>
            <w:vAlign w:val="center"/>
            <w:hideMark/>
          </w:tcPr>
          <w:p w14:paraId="5CB0936B"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p>
        </w:tc>
        <w:tc>
          <w:tcPr>
            <w:tcW w:w="1842" w:type="dxa"/>
            <w:tcBorders>
              <w:top w:val="nil"/>
              <w:left w:val="nil"/>
              <w:bottom w:val="single" w:sz="4" w:space="0" w:color="auto"/>
              <w:right w:val="single" w:sz="4" w:space="0" w:color="auto"/>
            </w:tcBorders>
            <w:shd w:val="clear" w:color="auto" w:fill="FFD966" w:themeFill="accent4" w:themeFillTint="99"/>
            <w:vAlign w:val="center"/>
            <w:hideMark/>
          </w:tcPr>
          <w:p w14:paraId="7D145F70"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DCI MIDDLE EAST</w:t>
            </w:r>
            <w:r w:rsidRPr="000A318B">
              <w:rPr>
                <w:rFonts w:ascii="Calibri" w:eastAsia="Times New Roman" w:hAnsi="Calibri" w:cs="Times New Roman"/>
                <w:color w:val="000000"/>
                <w:lang w:eastAsia="hu-HU"/>
              </w:rPr>
              <w:br/>
              <w:t>(Region 9)</w:t>
            </w:r>
          </w:p>
        </w:tc>
        <w:tc>
          <w:tcPr>
            <w:tcW w:w="5670" w:type="dxa"/>
            <w:tcBorders>
              <w:top w:val="nil"/>
              <w:left w:val="nil"/>
              <w:bottom w:val="single" w:sz="4" w:space="0" w:color="auto"/>
              <w:right w:val="single" w:sz="8" w:space="0" w:color="auto"/>
            </w:tcBorders>
            <w:shd w:val="clear" w:color="auto" w:fill="FFD966" w:themeFill="accent4" w:themeFillTint="99"/>
            <w:vAlign w:val="center"/>
            <w:hideMark/>
          </w:tcPr>
          <w:p w14:paraId="119E374A" w14:textId="77777777" w:rsidR="000A318B" w:rsidRPr="000A318B" w:rsidRDefault="000A318B" w:rsidP="00297FE5">
            <w:pPr>
              <w:spacing w:after="0" w:line="240" w:lineRule="auto"/>
              <w:ind w:right="76"/>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Iran, Irak, Yemen</w:t>
            </w:r>
          </w:p>
        </w:tc>
      </w:tr>
      <w:tr w:rsidR="000A318B" w:rsidRPr="000A318B" w14:paraId="7C4E9B97" w14:textId="77777777" w:rsidTr="000A318B">
        <w:trPr>
          <w:trHeight w:val="615"/>
          <w:jc w:val="center"/>
        </w:trPr>
        <w:tc>
          <w:tcPr>
            <w:tcW w:w="1550" w:type="dxa"/>
            <w:vMerge/>
            <w:tcBorders>
              <w:top w:val="single" w:sz="8" w:space="0" w:color="auto"/>
              <w:left w:val="single" w:sz="8" w:space="0" w:color="auto"/>
              <w:bottom w:val="single" w:sz="8" w:space="0" w:color="000000"/>
              <w:right w:val="single" w:sz="4" w:space="0" w:color="auto"/>
            </w:tcBorders>
            <w:shd w:val="clear" w:color="auto" w:fill="FFD966" w:themeFill="accent4" w:themeFillTint="99"/>
            <w:vAlign w:val="center"/>
            <w:hideMark/>
          </w:tcPr>
          <w:p w14:paraId="269DB6F5"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p>
        </w:tc>
        <w:tc>
          <w:tcPr>
            <w:tcW w:w="1842" w:type="dxa"/>
            <w:tcBorders>
              <w:top w:val="single" w:sz="4" w:space="0" w:color="auto"/>
              <w:left w:val="nil"/>
              <w:bottom w:val="single" w:sz="8" w:space="0" w:color="auto"/>
              <w:right w:val="single" w:sz="4" w:space="0" w:color="auto"/>
            </w:tcBorders>
            <w:shd w:val="clear" w:color="auto" w:fill="AEAAAA" w:themeFill="background2" w:themeFillShade="BF"/>
            <w:vAlign w:val="center"/>
            <w:hideMark/>
          </w:tcPr>
          <w:p w14:paraId="0B80AF72"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DCI SOUTH AFRICA</w:t>
            </w:r>
            <w:r w:rsidRPr="000A318B">
              <w:rPr>
                <w:rFonts w:ascii="Calibri" w:eastAsia="Times New Roman" w:hAnsi="Calibri" w:cs="Times New Roman"/>
                <w:color w:val="000000"/>
                <w:lang w:eastAsia="hu-HU"/>
              </w:rPr>
              <w:br/>
              <w:t>(Region 10)</w:t>
            </w:r>
          </w:p>
        </w:tc>
        <w:tc>
          <w:tcPr>
            <w:tcW w:w="5670" w:type="dxa"/>
            <w:tcBorders>
              <w:top w:val="single" w:sz="4" w:space="0" w:color="auto"/>
              <w:left w:val="nil"/>
              <w:bottom w:val="single" w:sz="8" w:space="0" w:color="auto"/>
              <w:right w:val="single" w:sz="8" w:space="0" w:color="auto"/>
            </w:tcBorders>
            <w:shd w:val="clear" w:color="auto" w:fill="AEAAAA" w:themeFill="background2" w:themeFillShade="BF"/>
            <w:vAlign w:val="center"/>
            <w:hideMark/>
          </w:tcPr>
          <w:p w14:paraId="62D7651B" w14:textId="77777777" w:rsidR="000A318B" w:rsidRPr="000A318B" w:rsidRDefault="000A318B" w:rsidP="00297FE5">
            <w:pPr>
              <w:spacing w:after="0" w:line="240" w:lineRule="auto"/>
              <w:ind w:right="76"/>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South Africa</w:t>
            </w:r>
          </w:p>
        </w:tc>
      </w:tr>
      <w:tr w:rsidR="000A318B" w:rsidRPr="000A318B" w14:paraId="28547C73" w14:textId="77777777" w:rsidTr="000A318B">
        <w:trPr>
          <w:trHeight w:val="4215"/>
          <w:jc w:val="center"/>
        </w:trPr>
        <w:tc>
          <w:tcPr>
            <w:tcW w:w="1550" w:type="dxa"/>
            <w:tcBorders>
              <w:top w:val="nil"/>
              <w:left w:val="single" w:sz="8" w:space="0" w:color="auto"/>
              <w:bottom w:val="single" w:sz="8" w:space="0" w:color="auto"/>
              <w:right w:val="single" w:sz="4" w:space="0" w:color="auto"/>
            </w:tcBorders>
            <w:shd w:val="clear" w:color="000000" w:fill="C5E0B3" w:themeFill="accent6" w:themeFillTint="66"/>
            <w:vAlign w:val="center"/>
            <w:hideMark/>
          </w:tcPr>
          <w:p w14:paraId="6EB3E770" w14:textId="77777777" w:rsidR="000A318B" w:rsidRPr="000A318B" w:rsidRDefault="000A318B" w:rsidP="00297FE5">
            <w:pPr>
              <w:spacing w:after="0" w:line="240" w:lineRule="auto"/>
              <w:jc w:val="both"/>
              <w:rPr>
                <w:rFonts w:ascii="Calibri" w:eastAsia="Times New Roman" w:hAnsi="Calibri" w:cs="Times New Roman"/>
                <w:b/>
                <w:color w:val="000000"/>
                <w:lang w:eastAsia="hu-HU"/>
              </w:rPr>
            </w:pPr>
            <w:r w:rsidRPr="000A318B">
              <w:rPr>
                <w:rFonts w:ascii="Calibri" w:eastAsia="Times New Roman" w:hAnsi="Calibri" w:cs="Times New Roman"/>
                <w:b/>
                <w:color w:val="000000"/>
                <w:lang w:eastAsia="hu-HU"/>
              </w:rPr>
              <w:t>EDF</w:t>
            </w:r>
          </w:p>
        </w:tc>
        <w:tc>
          <w:tcPr>
            <w:tcW w:w="1842" w:type="dxa"/>
            <w:tcBorders>
              <w:top w:val="nil"/>
              <w:left w:val="nil"/>
              <w:bottom w:val="single" w:sz="8" w:space="0" w:color="auto"/>
              <w:right w:val="single" w:sz="4" w:space="0" w:color="auto"/>
            </w:tcBorders>
            <w:shd w:val="clear" w:color="000000" w:fill="C5E0B3" w:themeFill="accent6" w:themeFillTint="66"/>
            <w:vAlign w:val="center"/>
            <w:hideMark/>
          </w:tcPr>
          <w:p w14:paraId="06C2AFFF"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r w:rsidRPr="000A318B">
              <w:rPr>
                <w:rFonts w:ascii="Calibri" w:eastAsia="Times New Roman" w:hAnsi="Calibri" w:cs="Times New Roman"/>
                <w:color w:val="000000"/>
                <w:lang w:eastAsia="hu-HU"/>
              </w:rPr>
              <w:t>EDF</w:t>
            </w:r>
            <w:r>
              <w:rPr>
                <w:rFonts w:ascii="Calibri" w:eastAsia="Times New Roman" w:hAnsi="Calibri" w:cs="Times New Roman"/>
                <w:color w:val="000000"/>
                <w:lang w:eastAsia="hu-HU"/>
              </w:rPr>
              <w:t>/</w:t>
            </w:r>
            <w:r w:rsidRPr="000A318B">
              <w:rPr>
                <w:rFonts w:ascii="Calibri" w:eastAsia="Times New Roman" w:hAnsi="Calibri" w:cs="Times New Roman"/>
                <w:color w:val="000000"/>
                <w:lang w:eastAsia="hu-HU"/>
              </w:rPr>
              <w:t xml:space="preserve"> ACP</w:t>
            </w:r>
            <w:r w:rsidRPr="000A318B">
              <w:rPr>
                <w:rFonts w:ascii="Calibri" w:eastAsia="Times New Roman" w:hAnsi="Calibri" w:cs="Times New Roman"/>
                <w:color w:val="000000"/>
                <w:lang w:eastAsia="hu-HU"/>
              </w:rPr>
              <w:br/>
              <w:t>(Region 11)</w:t>
            </w:r>
          </w:p>
        </w:tc>
        <w:tc>
          <w:tcPr>
            <w:tcW w:w="5670" w:type="dxa"/>
            <w:tcBorders>
              <w:top w:val="nil"/>
              <w:left w:val="nil"/>
              <w:bottom w:val="single" w:sz="8" w:space="0" w:color="auto"/>
              <w:right w:val="single" w:sz="8" w:space="0" w:color="auto"/>
            </w:tcBorders>
            <w:shd w:val="clear" w:color="000000" w:fill="C5E0B3" w:themeFill="accent6" w:themeFillTint="66"/>
            <w:vAlign w:val="center"/>
            <w:hideMark/>
          </w:tcPr>
          <w:p w14:paraId="75E68A4C" w14:textId="77777777" w:rsidR="000A318B" w:rsidRPr="000A318B" w:rsidRDefault="000A318B" w:rsidP="00297FE5">
            <w:pPr>
              <w:spacing w:after="0" w:line="240" w:lineRule="auto"/>
              <w:jc w:val="both"/>
              <w:rPr>
                <w:rFonts w:ascii="Calibri" w:eastAsia="Times New Roman" w:hAnsi="Calibri" w:cs="Times New Roman"/>
                <w:color w:val="000000"/>
                <w:lang w:eastAsia="hu-HU"/>
              </w:rPr>
            </w:pPr>
            <w:proofErr w:type="gramStart"/>
            <w:r w:rsidRPr="000A318B">
              <w:rPr>
                <w:rFonts w:ascii="Calibri" w:eastAsia="Times New Roman" w:hAnsi="Calibri" w:cs="Times New Roman"/>
                <w:color w:val="000000"/>
                <w:lang w:eastAsia="hu-HU"/>
              </w:rPr>
              <w:t>Angola, Antigua and Barbuda, Bahamas, Barbados, Balize, Benin, Botswana, Burkina Faso, Burundi, Cameroon, Cape Verde, Central African Republic, Chad, Comoros, Congo, Congo - Democratic Republic of the, Cook Islands, Djibouti, Dominica, Dominican Republic, Equatorial Guinea, Eritrea, Ethiopia, Fiji, Gabon, Gambia, Ghana, Grenada, Guinea, Guinea-Bissau, Guyana, Haiti, Republic of Cote d'lvoire, Jamaica, Kenya, Kiribati, Lesotho, Liberia, Madagascar, Malawi, Mali, Marshall Islands, Mauritania, Mauritius, Micronesia-Federated States of, Mozambique, Namibia, Nauru, Niger, Nigeria, Niue, Palau, Papua</w:t>
            </w:r>
            <w:proofErr w:type="gramEnd"/>
            <w:r w:rsidRPr="000A318B">
              <w:rPr>
                <w:rFonts w:ascii="Calibri" w:eastAsia="Times New Roman" w:hAnsi="Calibri" w:cs="Times New Roman"/>
                <w:color w:val="000000"/>
                <w:lang w:eastAsia="hu-HU"/>
              </w:rPr>
              <w:t xml:space="preserve"> New Guinea, Rwanda, Saint Kitts And Nevis, Saint Lucia, Saint Vincent And The Grenadines, Samoa, Sao Tome and Principe, Senegal, Seychelles, Sierra Leone, Solomon Islands, Somalia, South Sudan, Sudan, Suriname, Swaziland, Timor Leste - Democratic of, Tanzania, Togo, Tonga, Trinidad and Tobago, Tuvalu, Uganda, Vanuatu, Zambia, Zimbabwe</w:t>
            </w:r>
          </w:p>
        </w:tc>
      </w:tr>
    </w:tbl>
    <w:p w14:paraId="4C36FE8D" w14:textId="77777777" w:rsidR="001330F8" w:rsidRPr="009B6AB0" w:rsidRDefault="001330F8" w:rsidP="00297FE5">
      <w:pPr>
        <w:jc w:val="both"/>
        <w:rPr>
          <w:b/>
        </w:rPr>
      </w:pPr>
    </w:p>
    <w:sectPr w:rsidR="001330F8" w:rsidRPr="009B6AB0" w:rsidSect="00061960">
      <w:footerReference w:type="default" r:id="rId16"/>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F8A2D" w14:textId="77777777" w:rsidR="0021535E" w:rsidRDefault="0021535E" w:rsidP="0021535E">
      <w:pPr>
        <w:spacing w:after="0" w:line="240" w:lineRule="auto"/>
      </w:pPr>
      <w:r>
        <w:separator/>
      </w:r>
    </w:p>
  </w:endnote>
  <w:endnote w:type="continuationSeparator" w:id="0">
    <w:p w14:paraId="53ADD761" w14:textId="77777777" w:rsidR="0021535E" w:rsidRDefault="0021535E" w:rsidP="0021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78982"/>
      <w:docPartObj>
        <w:docPartGallery w:val="Page Numbers (Bottom of Page)"/>
        <w:docPartUnique/>
      </w:docPartObj>
    </w:sdtPr>
    <w:sdtEndPr/>
    <w:sdtContent>
      <w:p w14:paraId="7B8B58CD" w14:textId="1D9B5709" w:rsidR="0021535E" w:rsidRDefault="0021535E">
        <w:pPr>
          <w:pStyle w:val="llb"/>
          <w:jc w:val="center"/>
        </w:pPr>
        <w:r>
          <w:fldChar w:fldCharType="begin"/>
        </w:r>
        <w:r>
          <w:instrText>PAGE   \* MERGEFORMAT</w:instrText>
        </w:r>
        <w:r>
          <w:fldChar w:fldCharType="separate"/>
        </w:r>
        <w:r w:rsidR="00991CCA">
          <w:rPr>
            <w:noProof/>
          </w:rPr>
          <w:t>1</w:t>
        </w:r>
        <w:r>
          <w:fldChar w:fldCharType="end"/>
        </w:r>
      </w:p>
    </w:sdtContent>
  </w:sdt>
  <w:p w14:paraId="2BDAAF1A" w14:textId="77777777" w:rsidR="0021535E" w:rsidRDefault="0021535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D77AA" w14:textId="77777777" w:rsidR="0021535E" w:rsidRDefault="0021535E" w:rsidP="0021535E">
      <w:pPr>
        <w:spacing w:after="0" w:line="240" w:lineRule="auto"/>
      </w:pPr>
      <w:r>
        <w:separator/>
      </w:r>
    </w:p>
  </w:footnote>
  <w:footnote w:type="continuationSeparator" w:id="0">
    <w:p w14:paraId="1A3FEC97" w14:textId="77777777" w:rsidR="0021535E" w:rsidRDefault="0021535E" w:rsidP="00215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B63EF"/>
    <w:multiLevelType w:val="hybridMultilevel"/>
    <w:tmpl w:val="72E08BA6"/>
    <w:lvl w:ilvl="0" w:tplc="2BCA5E5C">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F35D58"/>
    <w:multiLevelType w:val="hybridMultilevel"/>
    <w:tmpl w:val="4314CEA0"/>
    <w:lvl w:ilvl="0" w:tplc="413C232C">
      <w:numFmt w:val="bullet"/>
      <w:lvlText w:val="-"/>
      <w:lvlJc w:val="left"/>
      <w:pPr>
        <w:ind w:left="284" w:hanging="360"/>
      </w:pPr>
      <w:rPr>
        <w:rFonts w:ascii="Calibri" w:eastAsiaTheme="minorHAnsi" w:hAnsi="Calibri" w:cstheme="minorBidi" w:hint="default"/>
      </w:rPr>
    </w:lvl>
    <w:lvl w:ilvl="1" w:tplc="040E000F">
      <w:start w:val="1"/>
      <w:numFmt w:val="decimal"/>
      <w:lvlText w:val="%2."/>
      <w:lvlJc w:val="left"/>
      <w:pPr>
        <w:ind w:left="1004" w:hanging="360"/>
      </w:pPr>
      <w:rPr>
        <w:rFonts w:hint="default"/>
      </w:rPr>
    </w:lvl>
    <w:lvl w:ilvl="2" w:tplc="040E0005" w:tentative="1">
      <w:start w:val="1"/>
      <w:numFmt w:val="bullet"/>
      <w:lvlText w:val=""/>
      <w:lvlJc w:val="left"/>
      <w:pPr>
        <w:ind w:left="1724" w:hanging="360"/>
      </w:pPr>
      <w:rPr>
        <w:rFonts w:ascii="Wingdings" w:hAnsi="Wingdings" w:hint="default"/>
      </w:rPr>
    </w:lvl>
    <w:lvl w:ilvl="3" w:tplc="040E0001" w:tentative="1">
      <w:start w:val="1"/>
      <w:numFmt w:val="bullet"/>
      <w:lvlText w:val=""/>
      <w:lvlJc w:val="left"/>
      <w:pPr>
        <w:ind w:left="2444" w:hanging="360"/>
      </w:pPr>
      <w:rPr>
        <w:rFonts w:ascii="Symbol" w:hAnsi="Symbol" w:hint="default"/>
      </w:rPr>
    </w:lvl>
    <w:lvl w:ilvl="4" w:tplc="040E0003" w:tentative="1">
      <w:start w:val="1"/>
      <w:numFmt w:val="bullet"/>
      <w:lvlText w:val="o"/>
      <w:lvlJc w:val="left"/>
      <w:pPr>
        <w:ind w:left="3164" w:hanging="360"/>
      </w:pPr>
      <w:rPr>
        <w:rFonts w:ascii="Courier New" w:hAnsi="Courier New" w:cs="Courier New" w:hint="default"/>
      </w:rPr>
    </w:lvl>
    <w:lvl w:ilvl="5" w:tplc="040E0005" w:tentative="1">
      <w:start w:val="1"/>
      <w:numFmt w:val="bullet"/>
      <w:lvlText w:val=""/>
      <w:lvlJc w:val="left"/>
      <w:pPr>
        <w:ind w:left="3884" w:hanging="360"/>
      </w:pPr>
      <w:rPr>
        <w:rFonts w:ascii="Wingdings" w:hAnsi="Wingdings" w:hint="default"/>
      </w:rPr>
    </w:lvl>
    <w:lvl w:ilvl="6" w:tplc="040E0001" w:tentative="1">
      <w:start w:val="1"/>
      <w:numFmt w:val="bullet"/>
      <w:lvlText w:val=""/>
      <w:lvlJc w:val="left"/>
      <w:pPr>
        <w:ind w:left="4604" w:hanging="360"/>
      </w:pPr>
      <w:rPr>
        <w:rFonts w:ascii="Symbol" w:hAnsi="Symbol" w:hint="default"/>
      </w:rPr>
    </w:lvl>
    <w:lvl w:ilvl="7" w:tplc="040E0003" w:tentative="1">
      <w:start w:val="1"/>
      <w:numFmt w:val="bullet"/>
      <w:lvlText w:val="o"/>
      <w:lvlJc w:val="left"/>
      <w:pPr>
        <w:ind w:left="5324" w:hanging="360"/>
      </w:pPr>
      <w:rPr>
        <w:rFonts w:ascii="Courier New" w:hAnsi="Courier New" w:cs="Courier New" w:hint="default"/>
      </w:rPr>
    </w:lvl>
    <w:lvl w:ilvl="8" w:tplc="040E0005" w:tentative="1">
      <w:start w:val="1"/>
      <w:numFmt w:val="bullet"/>
      <w:lvlText w:val=""/>
      <w:lvlJc w:val="left"/>
      <w:pPr>
        <w:ind w:left="6044" w:hanging="360"/>
      </w:pPr>
      <w:rPr>
        <w:rFonts w:ascii="Wingdings" w:hAnsi="Wingdings" w:hint="default"/>
      </w:rPr>
    </w:lvl>
  </w:abstractNum>
  <w:abstractNum w:abstractNumId="2">
    <w:nsid w:val="53AD6A8B"/>
    <w:multiLevelType w:val="hybridMultilevel"/>
    <w:tmpl w:val="600C2DD6"/>
    <w:lvl w:ilvl="0" w:tplc="F08A8FAC">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731D0165"/>
    <w:multiLevelType w:val="hybridMultilevel"/>
    <w:tmpl w:val="731A0F34"/>
    <w:lvl w:ilvl="0" w:tplc="49523F2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3F01706"/>
    <w:multiLevelType w:val="hybridMultilevel"/>
    <w:tmpl w:val="F8D464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53"/>
    <w:rsid w:val="00013733"/>
    <w:rsid w:val="00061960"/>
    <w:rsid w:val="00070E17"/>
    <w:rsid w:val="000A318B"/>
    <w:rsid w:val="001330F8"/>
    <w:rsid w:val="001D205D"/>
    <w:rsid w:val="0021535E"/>
    <w:rsid w:val="002579AC"/>
    <w:rsid w:val="0029581E"/>
    <w:rsid w:val="00297FE5"/>
    <w:rsid w:val="00317B87"/>
    <w:rsid w:val="00493579"/>
    <w:rsid w:val="006F078A"/>
    <w:rsid w:val="00932D54"/>
    <w:rsid w:val="00991CCA"/>
    <w:rsid w:val="009B6AB0"/>
    <w:rsid w:val="00AE46E5"/>
    <w:rsid w:val="00BF2B7C"/>
    <w:rsid w:val="00D1268B"/>
    <w:rsid w:val="00E72FCF"/>
    <w:rsid w:val="00E80828"/>
    <w:rsid w:val="00EB0949"/>
    <w:rsid w:val="00FF72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B6AB0"/>
    <w:rPr>
      <w:color w:val="0563C1" w:themeColor="hyperlink"/>
      <w:u w:val="single"/>
    </w:rPr>
  </w:style>
  <w:style w:type="paragraph" w:styleId="Listaszerbekezds">
    <w:name w:val="List Paragraph"/>
    <w:basedOn w:val="Norml"/>
    <w:uiPriority w:val="34"/>
    <w:qFormat/>
    <w:rsid w:val="0029581E"/>
    <w:pPr>
      <w:ind w:left="720"/>
      <w:contextualSpacing/>
    </w:pPr>
  </w:style>
  <w:style w:type="paragraph" w:styleId="lfej">
    <w:name w:val="header"/>
    <w:basedOn w:val="Norml"/>
    <w:link w:val="lfejChar"/>
    <w:uiPriority w:val="99"/>
    <w:unhideWhenUsed/>
    <w:rsid w:val="0021535E"/>
    <w:pPr>
      <w:tabs>
        <w:tab w:val="center" w:pos="4536"/>
        <w:tab w:val="right" w:pos="9072"/>
      </w:tabs>
      <w:spacing w:after="0" w:line="240" w:lineRule="auto"/>
    </w:pPr>
  </w:style>
  <w:style w:type="character" w:customStyle="1" w:styleId="lfejChar">
    <w:name w:val="Élőfej Char"/>
    <w:basedOn w:val="Bekezdsalapbettpusa"/>
    <w:link w:val="lfej"/>
    <w:uiPriority w:val="99"/>
    <w:rsid w:val="0021535E"/>
  </w:style>
  <w:style w:type="paragraph" w:styleId="llb">
    <w:name w:val="footer"/>
    <w:basedOn w:val="Norml"/>
    <w:link w:val="llbChar"/>
    <w:uiPriority w:val="99"/>
    <w:unhideWhenUsed/>
    <w:rsid w:val="0021535E"/>
    <w:pPr>
      <w:tabs>
        <w:tab w:val="center" w:pos="4536"/>
        <w:tab w:val="right" w:pos="9072"/>
      </w:tabs>
      <w:spacing w:after="0" w:line="240" w:lineRule="auto"/>
    </w:pPr>
  </w:style>
  <w:style w:type="character" w:customStyle="1" w:styleId="llbChar">
    <w:name w:val="Élőláb Char"/>
    <w:basedOn w:val="Bekezdsalapbettpusa"/>
    <w:link w:val="llb"/>
    <w:uiPriority w:val="99"/>
    <w:rsid w:val="0021535E"/>
  </w:style>
  <w:style w:type="paragraph" w:styleId="NormlWeb">
    <w:name w:val="Normal (Web)"/>
    <w:basedOn w:val="Norml"/>
    <w:uiPriority w:val="99"/>
    <w:semiHidden/>
    <w:unhideWhenUsed/>
    <w:rsid w:val="0006196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61960"/>
    <w:rPr>
      <w:b/>
      <w:bCs/>
    </w:rPr>
  </w:style>
  <w:style w:type="character" w:styleId="Jegyzethivatkozs">
    <w:name w:val="annotation reference"/>
    <w:basedOn w:val="Bekezdsalapbettpusa"/>
    <w:uiPriority w:val="99"/>
    <w:semiHidden/>
    <w:unhideWhenUsed/>
    <w:rsid w:val="00EB0949"/>
    <w:rPr>
      <w:sz w:val="16"/>
      <w:szCs w:val="16"/>
    </w:rPr>
  </w:style>
  <w:style w:type="paragraph" w:styleId="Jegyzetszveg">
    <w:name w:val="annotation text"/>
    <w:basedOn w:val="Norml"/>
    <w:link w:val="JegyzetszvegChar"/>
    <w:uiPriority w:val="99"/>
    <w:semiHidden/>
    <w:unhideWhenUsed/>
    <w:rsid w:val="00EB0949"/>
    <w:pPr>
      <w:spacing w:line="240" w:lineRule="auto"/>
    </w:pPr>
    <w:rPr>
      <w:sz w:val="20"/>
      <w:szCs w:val="20"/>
    </w:rPr>
  </w:style>
  <w:style w:type="character" w:customStyle="1" w:styleId="JegyzetszvegChar">
    <w:name w:val="Jegyzetszöveg Char"/>
    <w:basedOn w:val="Bekezdsalapbettpusa"/>
    <w:link w:val="Jegyzetszveg"/>
    <w:uiPriority w:val="99"/>
    <w:semiHidden/>
    <w:rsid w:val="00EB0949"/>
    <w:rPr>
      <w:sz w:val="20"/>
      <w:szCs w:val="20"/>
    </w:rPr>
  </w:style>
  <w:style w:type="paragraph" w:styleId="Megjegyzstrgya">
    <w:name w:val="annotation subject"/>
    <w:basedOn w:val="Jegyzetszveg"/>
    <w:next w:val="Jegyzetszveg"/>
    <w:link w:val="MegjegyzstrgyaChar"/>
    <w:uiPriority w:val="99"/>
    <w:semiHidden/>
    <w:unhideWhenUsed/>
    <w:rsid w:val="00EB0949"/>
    <w:rPr>
      <w:b/>
      <w:bCs/>
    </w:rPr>
  </w:style>
  <w:style w:type="character" w:customStyle="1" w:styleId="MegjegyzstrgyaChar">
    <w:name w:val="Megjegyzés tárgya Char"/>
    <w:basedOn w:val="JegyzetszvegChar"/>
    <w:link w:val="Megjegyzstrgya"/>
    <w:uiPriority w:val="99"/>
    <w:semiHidden/>
    <w:rsid w:val="00EB0949"/>
    <w:rPr>
      <w:b/>
      <w:bCs/>
      <w:sz w:val="20"/>
      <w:szCs w:val="20"/>
    </w:rPr>
  </w:style>
  <w:style w:type="paragraph" w:styleId="Buborkszveg">
    <w:name w:val="Balloon Text"/>
    <w:basedOn w:val="Norml"/>
    <w:link w:val="BuborkszvegChar"/>
    <w:uiPriority w:val="99"/>
    <w:semiHidden/>
    <w:unhideWhenUsed/>
    <w:rsid w:val="00EB094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09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B6AB0"/>
    <w:rPr>
      <w:color w:val="0563C1" w:themeColor="hyperlink"/>
      <w:u w:val="single"/>
    </w:rPr>
  </w:style>
  <w:style w:type="paragraph" w:styleId="Listaszerbekezds">
    <w:name w:val="List Paragraph"/>
    <w:basedOn w:val="Norml"/>
    <w:uiPriority w:val="34"/>
    <w:qFormat/>
    <w:rsid w:val="0029581E"/>
    <w:pPr>
      <w:ind w:left="720"/>
      <w:contextualSpacing/>
    </w:pPr>
  </w:style>
  <w:style w:type="paragraph" w:styleId="lfej">
    <w:name w:val="header"/>
    <w:basedOn w:val="Norml"/>
    <w:link w:val="lfejChar"/>
    <w:uiPriority w:val="99"/>
    <w:unhideWhenUsed/>
    <w:rsid w:val="0021535E"/>
    <w:pPr>
      <w:tabs>
        <w:tab w:val="center" w:pos="4536"/>
        <w:tab w:val="right" w:pos="9072"/>
      </w:tabs>
      <w:spacing w:after="0" w:line="240" w:lineRule="auto"/>
    </w:pPr>
  </w:style>
  <w:style w:type="character" w:customStyle="1" w:styleId="lfejChar">
    <w:name w:val="Élőfej Char"/>
    <w:basedOn w:val="Bekezdsalapbettpusa"/>
    <w:link w:val="lfej"/>
    <w:uiPriority w:val="99"/>
    <w:rsid w:val="0021535E"/>
  </w:style>
  <w:style w:type="paragraph" w:styleId="llb">
    <w:name w:val="footer"/>
    <w:basedOn w:val="Norml"/>
    <w:link w:val="llbChar"/>
    <w:uiPriority w:val="99"/>
    <w:unhideWhenUsed/>
    <w:rsid w:val="0021535E"/>
    <w:pPr>
      <w:tabs>
        <w:tab w:val="center" w:pos="4536"/>
        <w:tab w:val="right" w:pos="9072"/>
      </w:tabs>
      <w:spacing w:after="0" w:line="240" w:lineRule="auto"/>
    </w:pPr>
  </w:style>
  <w:style w:type="character" w:customStyle="1" w:styleId="llbChar">
    <w:name w:val="Élőláb Char"/>
    <w:basedOn w:val="Bekezdsalapbettpusa"/>
    <w:link w:val="llb"/>
    <w:uiPriority w:val="99"/>
    <w:rsid w:val="0021535E"/>
  </w:style>
  <w:style w:type="paragraph" w:styleId="NormlWeb">
    <w:name w:val="Normal (Web)"/>
    <w:basedOn w:val="Norml"/>
    <w:uiPriority w:val="99"/>
    <w:semiHidden/>
    <w:unhideWhenUsed/>
    <w:rsid w:val="0006196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61960"/>
    <w:rPr>
      <w:b/>
      <w:bCs/>
    </w:rPr>
  </w:style>
  <w:style w:type="character" w:styleId="Jegyzethivatkozs">
    <w:name w:val="annotation reference"/>
    <w:basedOn w:val="Bekezdsalapbettpusa"/>
    <w:uiPriority w:val="99"/>
    <w:semiHidden/>
    <w:unhideWhenUsed/>
    <w:rsid w:val="00EB0949"/>
    <w:rPr>
      <w:sz w:val="16"/>
      <w:szCs w:val="16"/>
    </w:rPr>
  </w:style>
  <w:style w:type="paragraph" w:styleId="Jegyzetszveg">
    <w:name w:val="annotation text"/>
    <w:basedOn w:val="Norml"/>
    <w:link w:val="JegyzetszvegChar"/>
    <w:uiPriority w:val="99"/>
    <w:semiHidden/>
    <w:unhideWhenUsed/>
    <w:rsid w:val="00EB0949"/>
    <w:pPr>
      <w:spacing w:line="240" w:lineRule="auto"/>
    </w:pPr>
    <w:rPr>
      <w:sz w:val="20"/>
      <w:szCs w:val="20"/>
    </w:rPr>
  </w:style>
  <w:style w:type="character" w:customStyle="1" w:styleId="JegyzetszvegChar">
    <w:name w:val="Jegyzetszöveg Char"/>
    <w:basedOn w:val="Bekezdsalapbettpusa"/>
    <w:link w:val="Jegyzetszveg"/>
    <w:uiPriority w:val="99"/>
    <w:semiHidden/>
    <w:rsid w:val="00EB0949"/>
    <w:rPr>
      <w:sz w:val="20"/>
      <w:szCs w:val="20"/>
    </w:rPr>
  </w:style>
  <w:style w:type="paragraph" w:styleId="Megjegyzstrgya">
    <w:name w:val="annotation subject"/>
    <w:basedOn w:val="Jegyzetszveg"/>
    <w:next w:val="Jegyzetszveg"/>
    <w:link w:val="MegjegyzstrgyaChar"/>
    <w:uiPriority w:val="99"/>
    <w:semiHidden/>
    <w:unhideWhenUsed/>
    <w:rsid w:val="00EB0949"/>
    <w:rPr>
      <w:b/>
      <w:bCs/>
    </w:rPr>
  </w:style>
  <w:style w:type="character" w:customStyle="1" w:styleId="MegjegyzstrgyaChar">
    <w:name w:val="Megjegyzés tárgya Char"/>
    <w:basedOn w:val="JegyzetszvegChar"/>
    <w:link w:val="Megjegyzstrgya"/>
    <w:uiPriority w:val="99"/>
    <w:semiHidden/>
    <w:rsid w:val="00EB0949"/>
    <w:rPr>
      <w:b/>
      <w:bCs/>
      <w:sz w:val="20"/>
      <w:szCs w:val="20"/>
    </w:rPr>
  </w:style>
  <w:style w:type="paragraph" w:styleId="Buborkszveg">
    <w:name w:val="Balloon Text"/>
    <w:basedOn w:val="Norml"/>
    <w:link w:val="BuborkszvegChar"/>
    <w:uiPriority w:val="99"/>
    <w:semiHidden/>
    <w:unhideWhenUsed/>
    <w:rsid w:val="00EB094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9174">
      <w:bodyDiv w:val="1"/>
      <w:marLeft w:val="0"/>
      <w:marRight w:val="0"/>
      <w:marTop w:val="0"/>
      <w:marBottom w:val="0"/>
      <w:divBdr>
        <w:top w:val="none" w:sz="0" w:space="0" w:color="auto"/>
        <w:left w:val="none" w:sz="0" w:space="0" w:color="auto"/>
        <w:bottom w:val="none" w:sz="0" w:space="0" w:color="auto"/>
        <w:right w:val="none" w:sz="0" w:space="0" w:color="auto"/>
      </w:divBdr>
    </w:div>
    <w:div w:id="347828501">
      <w:bodyDiv w:val="1"/>
      <w:marLeft w:val="0"/>
      <w:marRight w:val="0"/>
      <w:marTop w:val="0"/>
      <w:marBottom w:val="0"/>
      <w:divBdr>
        <w:top w:val="none" w:sz="0" w:space="0" w:color="auto"/>
        <w:left w:val="none" w:sz="0" w:space="0" w:color="auto"/>
        <w:bottom w:val="none" w:sz="0" w:space="0" w:color="auto"/>
        <w:right w:val="none" w:sz="0" w:space="0" w:color="auto"/>
      </w:divBdr>
    </w:div>
    <w:div w:id="374501691">
      <w:bodyDiv w:val="1"/>
      <w:marLeft w:val="0"/>
      <w:marRight w:val="0"/>
      <w:marTop w:val="0"/>
      <w:marBottom w:val="0"/>
      <w:divBdr>
        <w:top w:val="none" w:sz="0" w:space="0" w:color="auto"/>
        <w:left w:val="none" w:sz="0" w:space="0" w:color="auto"/>
        <w:bottom w:val="none" w:sz="0" w:space="0" w:color="auto"/>
        <w:right w:val="none" w:sz="0" w:space="0" w:color="auto"/>
      </w:divBdr>
    </w:div>
    <w:div w:id="1978562289">
      <w:bodyDiv w:val="1"/>
      <w:marLeft w:val="0"/>
      <w:marRight w:val="0"/>
      <w:marTop w:val="0"/>
      <w:marBottom w:val="0"/>
      <w:divBdr>
        <w:top w:val="none" w:sz="0" w:space="0" w:color="auto"/>
        <w:left w:val="none" w:sz="0" w:space="0" w:color="auto"/>
        <w:bottom w:val="none" w:sz="0" w:space="0" w:color="auto"/>
        <w:right w:val="none" w:sz="0" w:space="0" w:color="auto"/>
      </w:divBdr>
    </w:div>
    <w:div w:id="21316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web-eforms" TargetMode="Externa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europa.eu/research/participants/portal/desktop/en/organisations/register.htm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dropbox.com/s/xvhm9l89zhf89ky/KA103_2018.avi?dl=0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4926</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Winkler-Antal Krisztina</dc:creator>
  <cp:lastModifiedBy>Elter Nikoletta</cp:lastModifiedBy>
  <cp:revision>2</cp:revision>
  <dcterms:created xsi:type="dcterms:W3CDTF">2018-01-18T14:35:00Z</dcterms:created>
  <dcterms:modified xsi:type="dcterms:W3CDTF">2018-01-18T14:35:00Z</dcterms:modified>
</cp:coreProperties>
</file>