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8B" w:rsidRPr="009D226E" w:rsidRDefault="00F75FEF" w:rsidP="00847E10">
      <w:pPr>
        <w:spacing w:after="0" w:line="240" w:lineRule="auto"/>
        <w:jc w:val="center"/>
        <w:rPr>
          <w:rFonts w:cstheme="minorHAnsi"/>
          <w:smallCaps/>
          <w:sz w:val="28"/>
          <w:szCs w:val="28"/>
          <w:lang w:val="hu-HU"/>
        </w:rPr>
      </w:pPr>
      <w:bookmarkStart w:id="0" w:name="_GoBack"/>
      <w:bookmarkEnd w:id="0"/>
      <w:r w:rsidRPr="009D226E">
        <w:rPr>
          <w:rFonts w:cstheme="minorHAnsi"/>
          <w:b/>
          <w:sz w:val="28"/>
          <w:szCs w:val="28"/>
          <w:lang w:val="hu-HU"/>
        </w:rPr>
        <w:t>ALKALMAZANDÓ</w:t>
      </w:r>
      <w:r w:rsidR="00847E10" w:rsidRPr="009D226E">
        <w:rPr>
          <w:rFonts w:cstheme="minorHAnsi"/>
          <w:b/>
          <w:sz w:val="28"/>
          <w:szCs w:val="28"/>
          <w:lang w:val="hu-HU"/>
        </w:rPr>
        <w:t xml:space="preserve"> TÁMOGATÁSI RÁTÁK</w:t>
      </w:r>
    </w:p>
    <w:p w:rsidR="00850120" w:rsidRPr="009D226E" w:rsidRDefault="00847E10" w:rsidP="0072048B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  <w:u w:val="single"/>
          <w:lang w:val="hu-HU"/>
        </w:rPr>
      </w:pPr>
      <w:r w:rsidRPr="009D226E">
        <w:rPr>
          <w:rFonts w:cstheme="minorHAnsi"/>
          <w:b/>
          <w:smallCaps/>
          <w:sz w:val="28"/>
          <w:szCs w:val="28"/>
          <w:u w:val="single"/>
          <w:lang w:val="hu-HU"/>
        </w:rPr>
        <w:t xml:space="preserve">KA2 – </w:t>
      </w:r>
      <w:r w:rsidR="005243D2" w:rsidRPr="009D226E">
        <w:rPr>
          <w:rFonts w:cstheme="minorHAnsi"/>
          <w:b/>
          <w:smallCaps/>
          <w:sz w:val="28"/>
          <w:szCs w:val="28"/>
          <w:highlight w:val="yellow"/>
          <w:u w:val="single"/>
          <w:lang w:val="hu-HU"/>
        </w:rPr>
        <w:t>SZEKTOR</w:t>
      </w:r>
      <w:r w:rsidR="005243D2" w:rsidRPr="009D226E">
        <w:rPr>
          <w:rFonts w:cstheme="minorHAnsi"/>
          <w:b/>
          <w:smallCaps/>
          <w:sz w:val="28"/>
          <w:szCs w:val="28"/>
          <w:u w:val="single"/>
          <w:lang w:val="hu-HU"/>
        </w:rPr>
        <w:t xml:space="preserve"> </w:t>
      </w:r>
      <w:r w:rsidR="004B6EA0" w:rsidRPr="009D226E">
        <w:rPr>
          <w:rFonts w:cstheme="minorHAnsi"/>
          <w:b/>
          <w:smallCaps/>
          <w:sz w:val="28"/>
          <w:szCs w:val="28"/>
          <w:u w:val="single"/>
          <w:lang w:val="hu-HU"/>
        </w:rPr>
        <w:t>S</w:t>
      </w:r>
      <w:r w:rsidRPr="009D226E">
        <w:rPr>
          <w:rFonts w:cstheme="minorHAnsi"/>
          <w:b/>
          <w:smallCaps/>
          <w:sz w:val="28"/>
          <w:szCs w:val="28"/>
          <w:u w:val="single"/>
          <w:lang w:val="hu-HU"/>
        </w:rPr>
        <w:t>TRATÉGIAI PARTNERSÉGEK</w:t>
      </w:r>
    </w:p>
    <w:p w:rsidR="00850120" w:rsidRPr="009D226E" w:rsidRDefault="00850120" w:rsidP="0072048B">
      <w:pPr>
        <w:spacing w:after="0" w:line="240" w:lineRule="auto"/>
        <w:rPr>
          <w:rFonts w:cstheme="minorHAnsi"/>
          <w:b/>
          <w:sz w:val="24"/>
          <w:szCs w:val="24"/>
          <w:lang w:val="hu-HU"/>
        </w:rPr>
      </w:pPr>
    </w:p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cstheme="minorHAnsi"/>
          <w:b/>
          <w:sz w:val="24"/>
          <w:szCs w:val="24"/>
          <w:lang w:val="hu-HU"/>
        </w:rPr>
        <w:t xml:space="preserve">1. </w:t>
      </w:r>
      <w:r w:rsidR="00847E10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Projektmenedzsment és megvalósítás</w:t>
      </w:r>
    </w:p>
    <w:tbl>
      <w:tblPr>
        <w:tblW w:w="2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03"/>
      </w:tblGrid>
      <w:tr w:rsidR="00850120" w:rsidRPr="009D226E" w:rsidTr="000E3917">
        <w:trPr>
          <w:trHeight w:val="903"/>
        </w:trPr>
        <w:tc>
          <w:tcPr>
            <w:tcW w:w="5000" w:type="pct"/>
            <w:vAlign w:val="center"/>
          </w:tcPr>
          <w:p w:rsidR="00850120" w:rsidRPr="009D226E" w:rsidRDefault="00847E1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Hozzájárulás a koordinátor intézmény tevékenységeihez 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</w:pPr>
          </w:p>
          <w:p w:rsidR="00850120" w:rsidRPr="009D226E" w:rsidRDefault="00850120" w:rsidP="00CB7E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 xml:space="preserve">500 </w:t>
            </w:r>
            <w:r w:rsidR="00CB7EDF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>euró</w:t>
            </w:r>
            <w:r w:rsidR="00CB7EDF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  <w:r w:rsidR="00847E10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havonta</w:t>
            </w:r>
          </w:p>
        </w:tc>
      </w:tr>
      <w:tr w:rsidR="00850120" w:rsidRPr="009D226E" w:rsidTr="000E3917">
        <w:trPr>
          <w:trHeight w:val="1194"/>
        </w:trPr>
        <w:tc>
          <w:tcPr>
            <w:tcW w:w="5000" w:type="pct"/>
            <w:vAlign w:val="center"/>
          </w:tcPr>
          <w:p w:rsidR="00850120" w:rsidRPr="009D226E" w:rsidRDefault="00847E1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Hozzájárulás a partner intézmény(ek) tevékenységeihez </w:t>
            </w:r>
          </w:p>
          <w:p w:rsidR="00850120" w:rsidRPr="009D226E" w:rsidRDefault="00850120" w:rsidP="00CB7E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 xml:space="preserve">250 </w:t>
            </w:r>
            <w:r w:rsidR="00CB7EDF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>euró</w:t>
            </w:r>
            <w:r w:rsidR="00CB7EDF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  <w:r w:rsidR="00847E10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partner intézményenként havonta</w:t>
            </w:r>
          </w:p>
        </w:tc>
      </w:tr>
      <w:tr w:rsidR="00850120" w:rsidRPr="009D226E" w:rsidTr="000E3917">
        <w:trPr>
          <w:trHeight w:val="119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850120" w:rsidRPr="009D226E" w:rsidRDefault="00847E1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Lehetséges maximális összeg 10</w:t>
            </w:r>
            <w:r w:rsidR="00C76A2B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vagy több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  <w:r w:rsidR="00C76A2B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kedvezményezett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esetén: </w:t>
            </w:r>
          </w:p>
          <w:p w:rsidR="0085631C" w:rsidRPr="009D226E" w:rsidRDefault="0085631C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</w:p>
          <w:p w:rsidR="00850120" w:rsidRPr="009D226E" w:rsidRDefault="00850120" w:rsidP="004C444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 xml:space="preserve">2750 </w:t>
            </w:r>
            <w:r w:rsidR="00CB7EDF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 xml:space="preserve">euró </w:t>
            </w:r>
            <w:r w:rsidR="004C444D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havonta a partnerség </w:t>
            </w:r>
            <w:r w:rsidR="00917259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egésze </w:t>
            </w:r>
            <w:r w:rsidR="004C444D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számára</w:t>
            </w:r>
          </w:p>
        </w:tc>
      </w:tr>
    </w:tbl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9B3710" w:rsidRPr="009D226E" w:rsidRDefault="009B371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 xml:space="preserve">2. </w:t>
      </w:r>
      <w:r w:rsidR="00CB7EDF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Nemzetközi partnertalálkozók</w:t>
      </w:r>
    </w:p>
    <w:tbl>
      <w:tblPr>
        <w:tblW w:w="2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03"/>
      </w:tblGrid>
      <w:tr w:rsidR="00850120" w:rsidRPr="009D226E" w:rsidTr="000E3917">
        <w:trPr>
          <w:trHeight w:val="16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120" w:rsidRPr="009D226E" w:rsidRDefault="00CB7EDF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100 és 1999 km közötti utazási távolság esetén</w:t>
            </w:r>
            <w:r w:rsidR="00844BF6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: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</w:p>
          <w:p w:rsidR="00850120" w:rsidRPr="009D226E" w:rsidRDefault="00850120" w:rsidP="00CB7E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 xml:space="preserve">575 </w:t>
            </w:r>
            <w:r w:rsidR="00CB7EDF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>euró</w:t>
            </w:r>
            <w:r w:rsidR="00CB7EDF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résztvevő</w:t>
            </w:r>
            <w:r w:rsidR="00844BF6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n</w:t>
            </w:r>
            <w:r w:rsidR="00CB7EDF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ként és találkozónként</w:t>
            </w:r>
          </w:p>
        </w:tc>
      </w:tr>
      <w:tr w:rsidR="00850120" w:rsidRPr="009D226E" w:rsidTr="000E3917">
        <w:trPr>
          <w:trHeight w:val="1696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120" w:rsidRPr="009D226E" w:rsidRDefault="00CB7EDF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2000 km vagy afeletti utazási távolság esetén:</w:t>
            </w:r>
            <w:r w:rsidR="00850120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</w:pPr>
          </w:p>
          <w:p w:rsidR="00850120" w:rsidRPr="009D226E" w:rsidRDefault="00850120" w:rsidP="00CB7E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 xml:space="preserve">760 </w:t>
            </w:r>
            <w:r w:rsidR="00CB7EDF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  <w:t>euró</w:t>
            </w:r>
            <w:r w:rsidR="00CB7EDF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résztvevő</w:t>
            </w:r>
            <w:r w:rsidR="00844BF6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n</w:t>
            </w:r>
            <w:r w:rsidR="00CB7EDF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ként és találkozónként </w:t>
            </w:r>
          </w:p>
        </w:tc>
      </w:tr>
    </w:tbl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74510A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  <w:r w:rsidRPr="009D226E">
        <w:rPr>
          <w:rFonts w:cstheme="minorHAnsi"/>
          <w:sz w:val="24"/>
          <w:szCs w:val="24"/>
          <w:lang w:val="hu-HU"/>
        </w:rPr>
        <w:t>Megjegyzés</w:t>
      </w:r>
      <w:r w:rsidR="00850120" w:rsidRPr="009D226E">
        <w:rPr>
          <w:rFonts w:cstheme="minorHAnsi"/>
          <w:sz w:val="24"/>
          <w:szCs w:val="24"/>
          <w:lang w:val="hu-HU"/>
        </w:rPr>
        <w:t xml:space="preserve">: </w:t>
      </w:r>
      <w:r w:rsidRPr="009D226E">
        <w:rPr>
          <w:rFonts w:cstheme="minorHAnsi"/>
          <w:sz w:val="24"/>
          <w:szCs w:val="24"/>
          <w:lang w:val="hu-HU"/>
        </w:rPr>
        <w:t xml:space="preserve">Az </w:t>
      </w:r>
      <w:r w:rsidRPr="009D226E">
        <w:rPr>
          <w:rFonts w:cstheme="minorHAnsi"/>
          <w:i/>
          <w:sz w:val="24"/>
          <w:szCs w:val="24"/>
          <w:lang w:val="hu-HU"/>
        </w:rPr>
        <w:t>utazási távolság</w:t>
      </w:r>
      <w:r w:rsidRPr="009D226E">
        <w:rPr>
          <w:rFonts w:cstheme="minorHAnsi"/>
          <w:sz w:val="24"/>
          <w:szCs w:val="24"/>
          <w:lang w:val="hu-HU"/>
        </w:rPr>
        <w:t xml:space="preserve"> a</w:t>
      </w:r>
      <w:r w:rsidR="00A06383" w:rsidRPr="009D226E">
        <w:rPr>
          <w:rFonts w:cstheme="minorHAnsi"/>
          <w:sz w:val="24"/>
          <w:szCs w:val="24"/>
          <w:lang w:val="hu-HU"/>
        </w:rPr>
        <w:t xml:space="preserve"> kiindulási hely és a tevékenység helyszíne közti t</w:t>
      </w:r>
      <w:r w:rsidRPr="009D226E">
        <w:rPr>
          <w:rFonts w:cstheme="minorHAnsi"/>
          <w:sz w:val="24"/>
          <w:szCs w:val="24"/>
          <w:lang w:val="hu-HU"/>
        </w:rPr>
        <w:t xml:space="preserve">ávolságot jelenti. </w:t>
      </w: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F66D8F" w:rsidRPr="009D226E" w:rsidRDefault="00F66D8F" w:rsidP="0072048B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9D226E" w:rsidRDefault="009D226E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  <w:sectPr w:rsidR="009D226E" w:rsidSect="0085012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6D8F" w:rsidRPr="009D226E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  <w:lastRenderedPageBreak/>
        <w:t xml:space="preserve">3. </w:t>
      </w:r>
      <w:r w:rsidR="00DA1CD8" w:rsidRPr="009D226E"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  <w:t>Szellemi termékek</w:t>
      </w:r>
    </w:p>
    <w:p w:rsidR="00F66D8F" w:rsidRPr="009D226E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F66D8F" w:rsidRPr="009D226E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F66D8F" w:rsidRPr="009D226E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tbl>
      <w:tblPr>
        <w:tblW w:w="14175" w:type="dxa"/>
        <w:jc w:val="center"/>
        <w:tblLayout w:type="fixed"/>
        <w:tblLook w:val="0000" w:firstRow="0" w:lastRow="0" w:firstColumn="0" w:lastColumn="0" w:noHBand="0" w:noVBand="0"/>
      </w:tblPr>
      <w:tblGrid>
        <w:gridCol w:w="5670"/>
        <w:gridCol w:w="2127"/>
        <w:gridCol w:w="2126"/>
        <w:gridCol w:w="2126"/>
        <w:gridCol w:w="2126"/>
      </w:tblGrid>
      <w:tr w:rsidR="00F66D8F" w:rsidRPr="009D226E" w:rsidTr="009D226E">
        <w:trPr>
          <w:trHeight w:val="873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D8F" w:rsidRPr="009D226E" w:rsidRDefault="00DA1CD8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/>
                <w:kern w:val="3"/>
                <w:sz w:val="24"/>
                <w:szCs w:val="24"/>
                <w:lang w:eastAsia="zh-CN"/>
              </w:rPr>
              <w:t>Programországok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602100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cstheme="minorHAnsi"/>
                <w:b/>
              </w:rPr>
              <w:t>Menedzser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A6620E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cstheme="minorHAnsi"/>
                <w:b/>
              </w:rPr>
              <w:t>Tanár/képző/ kutató/ ifjúságsegítő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A6620E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cstheme="minorHAnsi"/>
                <w:b/>
              </w:rPr>
              <w:t>Technikus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A6620E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cstheme="minorHAnsi"/>
                <w:b/>
              </w:rPr>
              <w:t>Adminisztratív munkatársak</w:t>
            </w:r>
          </w:p>
        </w:tc>
      </w:tr>
      <w:tr w:rsidR="00F66D8F" w:rsidRPr="009D226E" w:rsidTr="009D226E">
        <w:trPr>
          <w:trHeight w:val="275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A6620E" w:rsidP="00A662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  <w:t>Napi díj</w:t>
            </w:r>
            <w:r w:rsidR="00F66D8F" w:rsidRPr="009D226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  <w:t xml:space="preserve"> </w:t>
            </w:r>
            <w:r w:rsidRPr="009D226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  <w:t>euróban</w:t>
            </w:r>
          </w:p>
        </w:tc>
      </w:tr>
      <w:tr w:rsidR="00F66D8F" w:rsidRPr="009D226E" w:rsidTr="009D226E">
        <w:trPr>
          <w:trHeight w:val="1459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DA1CD8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cstheme="minorHAnsi"/>
                <w:b/>
              </w:rPr>
              <w:t>Dánia, Írország, Luxemburg, Hollandia, Ausztria, Svédország, Liechtenstein, Norvégia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sz w:val="24"/>
                <w:szCs w:val="24"/>
                <w:lang w:eastAsia="zh-CN"/>
              </w:rPr>
              <w:t>294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sz w:val="24"/>
                <w:szCs w:val="24"/>
                <w:lang w:eastAsia="zh-CN"/>
              </w:rPr>
              <w:t>190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sz w:val="24"/>
                <w:szCs w:val="24"/>
                <w:lang w:eastAsia="zh-CN"/>
              </w:rPr>
              <w:t>157</w:t>
            </w:r>
          </w:p>
        </w:tc>
      </w:tr>
      <w:tr w:rsidR="00F66D8F" w:rsidRPr="009D226E" w:rsidTr="009D226E">
        <w:trPr>
          <w:trHeight w:val="1554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</w:p>
          <w:p w:rsidR="00F66D8F" w:rsidRPr="009D226E" w:rsidRDefault="00DA1CD8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  <w:r w:rsidRPr="009D226E">
              <w:rPr>
                <w:rFonts w:cstheme="minorHAnsi"/>
                <w:b/>
              </w:rPr>
              <w:t xml:space="preserve">Belgium, Németország, Franciaország, Olaszország, Finnország, Egyesült Királyság, Izland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214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162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131</w:t>
            </w:r>
          </w:p>
        </w:tc>
      </w:tr>
      <w:tr w:rsidR="00F66D8F" w:rsidRPr="009D226E" w:rsidTr="009D226E">
        <w:trPr>
          <w:trHeight w:val="1554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</w:p>
          <w:p w:rsidR="00F66D8F" w:rsidRPr="009D226E" w:rsidRDefault="00DA1CD8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  <w:r w:rsidRPr="009D226E">
              <w:rPr>
                <w:rFonts w:cstheme="minorHAnsi"/>
                <w:b/>
              </w:rPr>
              <w:t xml:space="preserve">Cseh Köztársaság, Görögország, Spanyolország, Ciprus, Málta, Portugália, Szlovénia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164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78</w:t>
            </w:r>
          </w:p>
        </w:tc>
      </w:tr>
      <w:tr w:rsidR="00F66D8F" w:rsidRPr="009D226E" w:rsidTr="009D226E">
        <w:trPr>
          <w:trHeight w:val="1405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:rsidR="00F66D8F" w:rsidRPr="009D226E" w:rsidRDefault="00DA1CD8" w:rsidP="001418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u w:val="single"/>
                <w:lang w:eastAsia="zh-CN"/>
              </w:rPr>
            </w:pPr>
            <w:r w:rsidRPr="009D226E">
              <w:rPr>
                <w:rFonts w:cstheme="minorHAnsi"/>
                <w:b/>
              </w:rPr>
              <w:t xml:space="preserve">Bulgária, Észtország, Horvátország, Lettország, Litvánia, Magyarország, Lengyelország, Románia, </w:t>
            </w:r>
            <w:r w:rsidR="00440522">
              <w:rPr>
                <w:rFonts w:cstheme="minorHAnsi"/>
                <w:b/>
              </w:rPr>
              <w:t xml:space="preserve">Szerbia, </w:t>
            </w:r>
            <w:r w:rsidRPr="009D226E">
              <w:rPr>
                <w:rFonts w:cstheme="minorHAnsi"/>
                <w:b/>
              </w:rPr>
              <w:t xml:space="preserve">Szlovákia, Macedónia Volt Jugoszláv Köztársaság, Törökország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D8F" w:rsidRPr="009D226E" w:rsidRDefault="00F66D8F" w:rsidP="001418E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sz w:val="24"/>
                <w:szCs w:val="24"/>
                <w:lang w:eastAsia="zh-CN"/>
              </w:rPr>
              <w:t>39</w:t>
            </w:r>
          </w:p>
        </w:tc>
      </w:tr>
    </w:tbl>
    <w:p w:rsidR="00F66D8F" w:rsidRPr="009D226E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tbl>
      <w:tblPr>
        <w:tblW w:w="1463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271"/>
        <w:gridCol w:w="1985"/>
        <w:gridCol w:w="2268"/>
        <w:gridCol w:w="1984"/>
        <w:gridCol w:w="2127"/>
      </w:tblGrid>
      <w:tr w:rsidR="00BC6077" w:rsidRPr="009D226E" w:rsidTr="009D226E">
        <w:trPr>
          <w:trHeight w:val="873"/>
          <w:tblHeader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263" w:rsidRPr="009D226E" w:rsidRDefault="00624263" w:rsidP="00624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kern w:val="3"/>
                <w:lang w:val="hu-HU" w:eastAsia="zh-CN"/>
              </w:rPr>
              <w:t>Partnerországok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val="hu-HU" w:eastAsia="zh-CN"/>
              </w:rPr>
            </w:pPr>
            <w:r w:rsidRPr="009D226E">
              <w:rPr>
                <w:rFonts w:cstheme="minorHAnsi"/>
                <w:b/>
                <w:lang w:val="hu-HU"/>
              </w:rPr>
              <w:t>Menedzser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val="hu-HU" w:eastAsia="zh-CN"/>
              </w:rPr>
            </w:pPr>
            <w:r w:rsidRPr="009D226E">
              <w:rPr>
                <w:rFonts w:cstheme="minorHAnsi"/>
                <w:b/>
                <w:lang w:val="hu-HU"/>
              </w:rPr>
              <w:t>Tanár/képző/ kutató/ ifjúságsegítő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val="hu-HU" w:eastAsia="zh-CN"/>
              </w:rPr>
            </w:pPr>
            <w:r w:rsidRPr="009D226E">
              <w:rPr>
                <w:rFonts w:cstheme="minorHAnsi"/>
                <w:b/>
                <w:lang w:val="hu-HU"/>
              </w:rPr>
              <w:t>Technikus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val="hu-HU" w:eastAsia="zh-CN"/>
              </w:rPr>
            </w:pPr>
            <w:r w:rsidRPr="009D226E">
              <w:rPr>
                <w:rFonts w:cstheme="minorHAnsi"/>
                <w:b/>
                <w:lang w:val="hu-HU"/>
              </w:rPr>
              <w:t>Adminisztratív munkatársak</w:t>
            </w:r>
          </w:p>
        </w:tc>
      </w:tr>
      <w:tr w:rsidR="00624263" w:rsidRPr="009D226E" w:rsidTr="009D226E">
        <w:trPr>
          <w:trHeight w:val="275"/>
          <w:tblHeader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24263" w:rsidRPr="009D226E" w:rsidRDefault="00624263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bCs/>
                <w:kern w:val="3"/>
                <w:sz w:val="24"/>
                <w:szCs w:val="24"/>
                <w:lang w:val="hu-HU" w:eastAsia="zh-CN"/>
              </w:rPr>
              <w:t>Napi díj euróban</w:t>
            </w:r>
          </w:p>
        </w:tc>
      </w:tr>
      <w:tr w:rsidR="00624263" w:rsidRPr="009D226E" w:rsidTr="009D226E">
        <w:trPr>
          <w:trHeight w:val="577"/>
        </w:trPr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09419E" w:rsidP="0062426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>Ausztrália, Kanada, Kuvait, Makaó, Monaco, Katar, San Marino, Svájc, Amerikai Egyesült Államok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lang w:val="hu-HU" w:eastAsia="zh-CN"/>
              </w:rPr>
              <w:t>294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lang w:val="hu-HU" w:eastAsia="zh-CN"/>
              </w:rPr>
              <w:t>241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lang w:val="hu-HU" w:eastAsia="zh-CN"/>
              </w:rPr>
              <w:t>190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bCs/>
                <w:color w:val="000000"/>
                <w:kern w:val="3"/>
                <w:lang w:val="hu-HU" w:eastAsia="zh-CN"/>
              </w:rPr>
              <w:t>157</w:t>
            </w:r>
          </w:p>
        </w:tc>
      </w:tr>
      <w:tr w:rsidR="00624263" w:rsidRPr="009D226E" w:rsidTr="009D226E">
        <w:trPr>
          <w:trHeight w:val="543"/>
        </w:trPr>
        <w:tc>
          <w:tcPr>
            <w:tcW w:w="6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09419E" w:rsidP="002672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u w:val="single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>Andorra, Brunei, Japán, Új-Zéland, Szingapúr, Egyesült Arab Emírségek, Vatikán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280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214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162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131</w:t>
            </w:r>
          </w:p>
        </w:tc>
      </w:tr>
      <w:tr w:rsidR="00624263" w:rsidRPr="009D226E" w:rsidTr="009D226E">
        <w:trPr>
          <w:trHeight w:val="692"/>
        </w:trPr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09419E" w:rsidP="004405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u w:val="single"/>
                <w:lang w:val="hu-HU" w:eastAsia="zh-CN"/>
              </w:rPr>
            </w:pPr>
            <w:r w:rsidRPr="009D22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>Bahama-szigetek, Bahrein, Hongkong, Izrael, Koreai Köztársaság, Omán, Szaúd</w:t>
            </w:r>
            <w:r w:rsidR="00440522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>-</w:t>
            </w:r>
            <w:r w:rsidRPr="009D22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>Arábia,</w:t>
            </w:r>
            <w:r w:rsidR="00440522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 xml:space="preserve"> </w:t>
            </w:r>
            <w:r w:rsidRPr="009D226E"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  <w:t>Tajvan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164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137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78</w:t>
            </w:r>
          </w:p>
        </w:tc>
      </w:tr>
      <w:tr w:rsidR="00624263" w:rsidRPr="009D226E" w:rsidTr="009D226E">
        <w:trPr>
          <w:trHeight w:val="1405"/>
        </w:trPr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24263" w:rsidRPr="009D226E" w:rsidRDefault="009D226E" w:rsidP="0044052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hu-HU" w:eastAsia="zh-CN"/>
              </w:rPr>
            </w:pPr>
            <w:r w:rsidRPr="009D226E">
              <w:rPr>
                <w:rFonts w:cstheme="minorHAnsi"/>
                <w:b/>
                <w:bCs/>
                <w:sz w:val="18"/>
                <w:szCs w:val="18"/>
                <w:lang w:val="hu-HU"/>
              </w:rPr>
              <w:t xml:space="preserve">Afganisztán, Albánia, Algéria, Angola, Antigua and Barbuda, Argentína, Örményország, Azerbajdzsán, Banglades, Barbados, Chile, Fehéroroszország, Belize, Benin, Bhután, Bolívia, Bosznia és Hercegovina, Botswana, Brazil, Burkina Faso, Burundi,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Kambodzsa,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Kamerun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Zöldfoki-szigetek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Közép-Afrikai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Köztársaság, Csád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Kína,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Kolumbia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Comore-szigetek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Kongó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(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Brazzaville)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Kongó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(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Kinshasa),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Cook-szigetek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Costa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Rica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Kuba,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Dzsibuti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Dominika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Dominikai Köztársaság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Kelet-Timor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Ecuador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>, Egyiptom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El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Salvador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Eritrea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Etiópia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Fidzsi-szigetek,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Gabon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Gambia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Grúzia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Ghána,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Grenada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Guatemala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Guinea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(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Köztársaság),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Bissau-Guinea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Guyana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Haiti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Honduras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India,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Indonézia,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Irak, Irán,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Elefántcsontpart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Jamaica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Jordánia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Kazahsztán, Kenya,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kiribati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Korea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(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DPR), Koszovó,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Kirgizisztán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Laosz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Libanon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Lesotho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Libéria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Líbia,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Madagaszkár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Malawi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Malajzia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Maldív-szigetek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Mali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Marshall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-szigetek,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Mauritánia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Mauritius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Mexikó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Mikronézia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Moldova, Mongólia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Montenegró,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Marokkó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Mozambik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Mianmar,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Namíbia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Nauru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Nepál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Nicaragu 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Niger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Nigéria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Niue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Pakisztán,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Palau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Palesztina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Panama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Pápua Új-Guinea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Paraguay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Peru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Fülöp-szigetek, Oroszország, Ruanda,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Szamoa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Sao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Tomé és Príncipe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>, Szenegál</w:t>
            </w:r>
            <w:r w:rsidR="00440522">
              <w:rPr>
                <w:rFonts w:cstheme="minorHAnsi"/>
                <w:b/>
                <w:sz w:val="18"/>
                <w:szCs w:val="18"/>
                <w:lang w:val="hu-HU"/>
              </w:rPr>
              <w:t>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Seychelle-szigetek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Sierra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Leone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Salamon-szigetek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Szomália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Dél-Afrika,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Sri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Lanka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St.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Lucia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St.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Vincent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és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a Grenadine-szigetek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St.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Kitts és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Nevis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Szudán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Suriname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Szváziföld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Szíria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Tádzsikisztán,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Tanzánia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Thaiföld,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Togo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Tonga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Trinidad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és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Tobago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Tunézia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Türkmenisztán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Tuvalu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Uganda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Ukrajna,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Uruguay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Üzbegisztán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Vanuatu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Venezuela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Vietnam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Jemen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Zambia</w:t>
            </w:r>
            <w:r w:rsidRPr="009D226E">
              <w:rPr>
                <w:rFonts w:cstheme="minorHAnsi"/>
                <w:b/>
                <w:sz w:val="18"/>
                <w:szCs w:val="18"/>
                <w:lang w:val="hu-HU"/>
              </w:rPr>
              <w:t xml:space="preserve">, </w:t>
            </w:r>
            <w:r w:rsidRPr="009D226E">
              <w:rPr>
                <w:rStyle w:val="hps"/>
                <w:rFonts w:cstheme="minorHAnsi"/>
                <w:b/>
                <w:sz w:val="18"/>
                <w:szCs w:val="18"/>
                <w:lang w:val="hu-HU"/>
              </w:rPr>
              <w:t>Zimbabwe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55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263" w:rsidRPr="009D226E" w:rsidRDefault="00624263" w:rsidP="002672E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lang w:val="hu-HU" w:eastAsia="zh-CN"/>
              </w:rPr>
            </w:pPr>
            <w:r w:rsidRPr="009D226E">
              <w:rPr>
                <w:rFonts w:eastAsia="SimSun" w:cstheme="minorHAnsi"/>
                <w:color w:val="000000"/>
                <w:kern w:val="3"/>
                <w:lang w:val="hu-HU" w:eastAsia="zh-CN"/>
              </w:rPr>
              <w:t>39</w:t>
            </w:r>
          </w:p>
        </w:tc>
      </w:tr>
    </w:tbl>
    <w:p w:rsidR="00F66D8F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9D226E" w:rsidRDefault="009D226E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9D226E" w:rsidRDefault="009D226E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9D226E" w:rsidRPr="009D226E" w:rsidRDefault="009D226E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9D226E" w:rsidRDefault="009D226E" w:rsidP="00B86879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  <w:sectPr w:rsidR="009D226E" w:rsidSect="009D226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86879" w:rsidRPr="009D226E" w:rsidRDefault="00B86879" w:rsidP="00B86879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  <w:t xml:space="preserve">4. </w:t>
      </w:r>
      <w:r w:rsidR="005B1C36" w:rsidRPr="009D226E"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  <w:t>Multiplikációs rendezvények</w:t>
      </w:r>
    </w:p>
    <w:p w:rsidR="00B86879" w:rsidRPr="009D226E" w:rsidRDefault="00B86879" w:rsidP="00B86879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tbl>
      <w:tblPr>
        <w:tblW w:w="3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189"/>
      </w:tblGrid>
      <w:tr w:rsidR="00B86879" w:rsidRPr="009D226E" w:rsidTr="001418ED">
        <w:trPr>
          <w:cantSplit/>
          <w:trHeight w:val="726"/>
        </w:trPr>
        <w:tc>
          <w:tcPr>
            <w:tcW w:w="5000" w:type="pct"/>
            <w:vAlign w:val="center"/>
          </w:tcPr>
          <w:p w:rsidR="00B86879" w:rsidRPr="009D226E" w:rsidRDefault="00B86879" w:rsidP="001418ED">
            <w:pPr>
              <w:widowControl w:val="0"/>
              <w:suppressAutoHyphens/>
              <w:autoSpaceDN w:val="0"/>
              <w:spacing w:beforeLines="40" w:before="96" w:afterLines="40" w:after="96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eastAsia="zh-CN"/>
              </w:rPr>
              <w:t xml:space="preserve">100 </w:t>
            </w:r>
            <w:r w:rsidR="00154604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eastAsia="zh-CN"/>
              </w:rPr>
              <w:t>euró</w:t>
            </w:r>
            <w:r w:rsidR="00154604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 xml:space="preserve"> / helyi résztvevők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B86879" w:rsidRPr="009D226E" w:rsidRDefault="00B86879" w:rsidP="00154604">
            <w:pPr>
              <w:widowControl w:val="0"/>
              <w:suppressAutoHyphens/>
              <w:autoSpaceDN w:val="0"/>
              <w:spacing w:beforeLines="40" w:before="96" w:afterLines="40" w:after="96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>(</w:t>
            </w:r>
            <w:r w:rsidR="00154604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>pl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 xml:space="preserve">. </w:t>
            </w:r>
            <w:r w:rsidR="00154604" w:rsidRPr="009D226E">
              <w:rPr>
                <w:rFonts w:cstheme="minorHAnsi"/>
                <w:sz w:val="24"/>
                <w:szCs w:val="24"/>
              </w:rPr>
              <w:t>(az esemény rendezési országából érkező résztvevők)</w:t>
            </w:r>
          </w:p>
        </w:tc>
      </w:tr>
      <w:tr w:rsidR="00B86879" w:rsidRPr="009D226E" w:rsidTr="001418ED">
        <w:trPr>
          <w:cantSplit/>
          <w:trHeight w:val="782"/>
        </w:trPr>
        <w:tc>
          <w:tcPr>
            <w:tcW w:w="5000" w:type="pct"/>
            <w:vAlign w:val="center"/>
          </w:tcPr>
          <w:p w:rsidR="00B86879" w:rsidRPr="009D226E" w:rsidRDefault="00B86879" w:rsidP="00154604">
            <w:pPr>
              <w:widowControl w:val="0"/>
              <w:suppressAutoHyphens/>
              <w:autoSpaceDN w:val="0"/>
              <w:spacing w:beforeLines="40" w:before="96" w:afterLines="40" w:after="96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eastAsia="zh-CN"/>
              </w:rPr>
              <w:t xml:space="preserve">200 </w:t>
            </w:r>
            <w:r w:rsidR="00154604"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eastAsia="zh-CN"/>
              </w:rPr>
              <w:t xml:space="preserve">euró </w:t>
            </w:r>
            <w:r w:rsidR="00154604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>/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eastAsia="zh-CN"/>
              </w:rPr>
              <w:t xml:space="preserve"> </w:t>
            </w:r>
            <w:r w:rsidR="00154604" w:rsidRPr="009D226E">
              <w:rPr>
                <w:rFonts w:cstheme="minorHAnsi"/>
                <w:sz w:val="24"/>
                <w:szCs w:val="24"/>
              </w:rPr>
              <w:t>nemzetközi résztvevő (más országból érkező résztvevők)</w:t>
            </w:r>
          </w:p>
        </w:tc>
      </w:tr>
      <w:tr w:rsidR="00B86879" w:rsidRPr="009D226E" w:rsidTr="001418ED">
        <w:trPr>
          <w:cantSplit/>
          <w:trHeight w:val="782"/>
        </w:trPr>
        <w:tc>
          <w:tcPr>
            <w:tcW w:w="5000" w:type="pct"/>
            <w:vAlign w:val="center"/>
          </w:tcPr>
          <w:p w:rsidR="00B86879" w:rsidRPr="009D226E" w:rsidRDefault="00154604" w:rsidP="00154604">
            <w:pPr>
              <w:widowControl w:val="0"/>
              <w:suppressAutoHyphens/>
              <w:autoSpaceDN w:val="0"/>
              <w:spacing w:beforeLines="40" w:before="96" w:afterLines="40" w:after="96" w:line="240" w:lineRule="auto"/>
              <w:textAlignment w:val="baseline"/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eastAsia="zh-CN"/>
              </w:rPr>
            </w:pPr>
            <w:r w:rsidRPr="009D226E">
              <w:rPr>
                <w:rFonts w:cstheme="minorHAnsi"/>
                <w:b/>
                <w:sz w:val="24"/>
                <w:szCs w:val="24"/>
              </w:rPr>
              <w:t>Maximum 30.000</w:t>
            </w:r>
            <w:r w:rsidRPr="009D226E">
              <w:rPr>
                <w:rFonts w:cstheme="minorHAnsi"/>
                <w:sz w:val="24"/>
                <w:szCs w:val="24"/>
              </w:rPr>
              <w:t xml:space="preserve"> </w:t>
            </w:r>
            <w:r w:rsidRPr="009D226E">
              <w:rPr>
                <w:rFonts w:cstheme="minorHAnsi"/>
                <w:b/>
                <w:sz w:val="24"/>
                <w:szCs w:val="24"/>
              </w:rPr>
              <w:t>euró</w:t>
            </w:r>
            <w:r w:rsidRPr="009D226E">
              <w:rPr>
                <w:rFonts w:cstheme="minorHAnsi"/>
                <w:sz w:val="24"/>
                <w:szCs w:val="24"/>
              </w:rPr>
              <w:t xml:space="preserve"> /</w:t>
            </w:r>
            <w:r w:rsidR="00B50D43" w:rsidRPr="009D226E">
              <w:rPr>
                <w:rFonts w:cstheme="minorHAnsi"/>
                <w:sz w:val="24"/>
                <w:szCs w:val="24"/>
              </w:rPr>
              <w:t xml:space="preserve">teljes </w:t>
            </w:r>
            <w:r w:rsidRPr="009D226E">
              <w:rPr>
                <w:rFonts w:cstheme="minorHAnsi"/>
                <w:sz w:val="24"/>
                <w:szCs w:val="24"/>
              </w:rPr>
              <w:t>projekt</w:t>
            </w:r>
          </w:p>
        </w:tc>
      </w:tr>
    </w:tbl>
    <w:p w:rsidR="00F66D8F" w:rsidRPr="009D226E" w:rsidRDefault="00F66D8F" w:rsidP="00F66D8F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eastAsia="zh-CN"/>
        </w:rPr>
      </w:pPr>
    </w:p>
    <w:p w:rsidR="00831EA6" w:rsidRPr="009D226E" w:rsidRDefault="00831EA6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B86879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5</w:t>
      </w:r>
      <w:r w:rsidR="00850120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 xml:space="preserve">. </w:t>
      </w:r>
      <w:r w:rsidR="0074510A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Tanulási/oktatási/képzési tevékenységek</w:t>
      </w:r>
    </w:p>
    <w:p w:rsidR="0072048B" w:rsidRPr="009D226E" w:rsidRDefault="0072048B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B86879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5</w:t>
      </w:r>
      <w:r w:rsidR="00850120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 xml:space="preserve">.a. </w:t>
      </w:r>
      <w:r w:rsidR="0074510A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Utazási támogatás</w:t>
      </w:r>
    </w:p>
    <w:p w:rsidR="00602100" w:rsidRPr="009D226E" w:rsidRDefault="0060210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531"/>
        <w:gridCol w:w="4531"/>
      </w:tblGrid>
      <w:tr w:rsidR="00602100" w:rsidRPr="009D226E" w:rsidTr="002672E7">
        <w:trPr>
          <w:trHeight w:val="454"/>
        </w:trPr>
        <w:tc>
          <w:tcPr>
            <w:tcW w:w="2500" w:type="pct"/>
            <w:shd w:val="pct10" w:color="auto" w:fill="auto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jc w:val="center"/>
              <w:rPr>
                <w:rFonts w:cstheme="minorHAnsi"/>
                <w:b/>
              </w:rPr>
            </w:pPr>
            <w:r w:rsidRPr="009D226E">
              <w:rPr>
                <w:rFonts w:cstheme="minorHAnsi"/>
                <w:b/>
              </w:rPr>
              <w:t>Távolsági sáv</w:t>
            </w:r>
          </w:p>
        </w:tc>
        <w:tc>
          <w:tcPr>
            <w:tcW w:w="2500" w:type="pct"/>
            <w:shd w:val="pct10" w:color="auto" w:fill="auto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jc w:val="center"/>
              <w:rPr>
                <w:rFonts w:cstheme="minorHAnsi"/>
                <w:b/>
              </w:rPr>
            </w:pPr>
            <w:r w:rsidRPr="009D226E">
              <w:rPr>
                <w:rFonts w:cstheme="minorHAnsi"/>
                <w:b/>
              </w:rPr>
              <w:t>Összeg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10 – 99 km között:</w:t>
            </w:r>
          </w:p>
        </w:tc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>20 euró / résztvevő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100–499 km között:</w:t>
            </w:r>
          </w:p>
        </w:tc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>180 euró / résztvevő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500–1999 km között:</w:t>
            </w:r>
          </w:p>
        </w:tc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>275 euró / résztvevő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2000–2999 km között:</w:t>
            </w:r>
          </w:p>
        </w:tc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>360 euró / résztvevő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3000–3999 km között:</w:t>
            </w:r>
          </w:p>
        </w:tc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>530 euró / résztvevő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4000–7999 km között:</w:t>
            </w:r>
          </w:p>
        </w:tc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>820 euró / résztvevő</w:t>
            </w:r>
          </w:p>
        </w:tc>
      </w:tr>
      <w:tr w:rsidR="00602100" w:rsidRPr="009D226E" w:rsidTr="002672E7">
        <w:trPr>
          <w:trHeight w:val="454"/>
        </w:trPr>
        <w:tc>
          <w:tcPr>
            <w:tcW w:w="2500" w:type="pct"/>
            <w:vAlign w:val="center"/>
          </w:tcPr>
          <w:p w:rsidR="00602100" w:rsidRPr="009D226E" w:rsidRDefault="00602100" w:rsidP="002672E7">
            <w:pPr>
              <w:spacing w:before="60" w:after="60"/>
              <w:ind w:right="339"/>
              <w:rPr>
                <w:rFonts w:cstheme="minorHAnsi"/>
              </w:rPr>
            </w:pPr>
            <w:r w:rsidRPr="009D226E">
              <w:rPr>
                <w:rFonts w:cstheme="minorHAnsi"/>
              </w:rPr>
              <w:t>8000 km vagy annál több:</w:t>
            </w:r>
          </w:p>
        </w:tc>
        <w:tc>
          <w:tcPr>
            <w:tcW w:w="2500" w:type="pct"/>
            <w:vAlign w:val="center"/>
          </w:tcPr>
          <w:p w:rsidR="00602100" w:rsidRPr="009D226E" w:rsidRDefault="000270C0" w:rsidP="002672E7">
            <w:pPr>
              <w:spacing w:before="60" w:after="60"/>
              <w:ind w:right="424"/>
              <w:jc w:val="center"/>
              <w:rPr>
                <w:rFonts w:cstheme="minorHAnsi"/>
              </w:rPr>
            </w:pPr>
            <w:r w:rsidRPr="009D226E">
              <w:rPr>
                <w:rFonts w:cstheme="minorHAnsi"/>
              </w:rPr>
              <w:t xml:space="preserve">1500 </w:t>
            </w:r>
            <w:r w:rsidR="00602100" w:rsidRPr="009D226E">
              <w:rPr>
                <w:rFonts w:cstheme="minorHAnsi"/>
              </w:rPr>
              <w:t>euró / résztvevő</w:t>
            </w:r>
          </w:p>
        </w:tc>
      </w:tr>
    </w:tbl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EB1634" w:rsidRPr="009D226E" w:rsidRDefault="0074510A" w:rsidP="00E43711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  <w:r w:rsidRPr="009D226E">
        <w:rPr>
          <w:rFonts w:cstheme="minorHAnsi"/>
          <w:sz w:val="24"/>
          <w:szCs w:val="24"/>
          <w:lang w:val="hu-HU"/>
        </w:rPr>
        <w:t>Megjegyzés</w:t>
      </w:r>
      <w:r w:rsidR="00850120" w:rsidRPr="009D226E">
        <w:rPr>
          <w:rFonts w:cstheme="minorHAnsi"/>
          <w:sz w:val="24"/>
          <w:szCs w:val="24"/>
          <w:lang w:val="hu-HU"/>
        </w:rPr>
        <w:t xml:space="preserve">: </w:t>
      </w:r>
      <w:r w:rsidRPr="009D226E">
        <w:rPr>
          <w:rFonts w:cstheme="minorHAnsi"/>
          <w:sz w:val="24"/>
          <w:szCs w:val="24"/>
          <w:lang w:val="hu-HU"/>
        </w:rPr>
        <w:t xml:space="preserve">Az </w:t>
      </w:r>
      <w:r w:rsidRPr="009D226E">
        <w:rPr>
          <w:rFonts w:cstheme="minorHAnsi"/>
          <w:i/>
          <w:sz w:val="24"/>
          <w:szCs w:val="24"/>
          <w:lang w:val="hu-HU"/>
        </w:rPr>
        <w:t>utazási távolság</w:t>
      </w:r>
      <w:r w:rsidRPr="009D226E">
        <w:rPr>
          <w:rFonts w:cstheme="minorHAnsi"/>
          <w:sz w:val="24"/>
          <w:szCs w:val="24"/>
          <w:lang w:val="hu-HU"/>
        </w:rPr>
        <w:t xml:space="preserve"> a </w:t>
      </w:r>
      <w:r w:rsidR="00DC2AAA" w:rsidRPr="009D226E">
        <w:rPr>
          <w:rFonts w:cstheme="minorHAnsi"/>
          <w:sz w:val="24"/>
          <w:szCs w:val="24"/>
          <w:lang w:val="hu-HU"/>
        </w:rPr>
        <w:t>kiindulási hely és a tevékenység helyszíne</w:t>
      </w:r>
      <w:r w:rsidRPr="009D226E">
        <w:rPr>
          <w:rFonts w:cstheme="minorHAnsi"/>
          <w:sz w:val="24"/>
          <w:szCs w:val="24"/>
          <w:lang w:val="hu-HU"/>
        </w:rPr>
        <w:t xml:space="preserve"> közti távolság</w:t>
      </w:r>
      <w:r w:rsidR="00534C95" w:rsidRPr="009D226E">
        <w:rPr>
          <w:rFonts w:cstheme="minorHAnsi"/>
          <w:sz w:val="24"/>
          <w:szCs w:val="24"/>
          <w:lang w:val="hu-HU"/>
        </w:rPr>
        <w:t xml:space="preserve">ot, míg az </w:t>
      </w:r>
      <w:r w:rsidR="00534C95" w:rsidRPr="009D226E">
        <w:rPr>
          <w:rFonts w:cstheme="minorHAnsi"/>
          <w:i/>
          <w:sz w:val="24"/>
          <w:szCs w:val="24"/>
          <w:lang w:val="hu-HU"/>
        </w:rPr>
        <w:t>összeg</w:t>
      </w:r>
      <w:r w:rsidR="00534C95" w:rsidRPr="009D226E">
        <w:rPr>
          <w:rFonts w:cstheme="minorHAnsi"/>
          <w:sz w:val="24"/>
          <w:szCs w:val="24"/>
          <w:lang w:val="hu-HU"/>
        </w:rPr>
        <w:t xml:space="preserve"> az oda és a visszautazás költségeihez való hozzájárulás</w:t>
      </w:r>
      <w:r w:rsidR="00844BF6" w:rsidRPr="009D226E">
        <w:rPr>
          <w:rFonts w:cstheme="minorHAnsi"/>
          <w:sz w:val="24"/>
          <w:szCs w:val="24"/>
          <w:lang w:val="hu-HU"/>
        </w:rPr>
        <w:t>t</w:t>
      </w:r>
      <w:r w:rsidR="00534C95" w:rsidRPr="009D226E">
        <w:rPr>
          <w:rFonts w:cstheme="minorHAnsi"/>
          <w:sz w:val="24"/>
          <w:szCs w:val="24"/>
          <w:lang w:val="hu-HU"/>
        </w:rPr>
        <w:t xml:space="preserve"> jelenti.</w:t>
      </w:r>
    </w:p>
    <w:p w:rsidR="00E43711" w:rsidRPr="009D226E" w:rsidRDefault="00E43711" w:rsidP="00E43711">
      <w:pPr>
        <w:spacing w:after="0" w:line="240" w:lineRule="auto"/>
        <w:ind w:left="1134" w:hanging="1134"/>
        <w:rPr>
          <w:rFonts w:cstheme="minorHAnsi"/>
          <w:sz w:val="24"/>
          <w:szCs w:val="24"/>
          <w:lang w:val="hu-HU"/>
        </w:rPr>
      </w:pPr>
    </w:p>
    <w:p w:rsidR="00850120" w:rsidRPr="009D226E" w:rsidRDefault="00B86879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5</w:t>
      </w:r>
      <w:r w:rsidR="00850120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 xml:space="preserve">.b. </w:t>
      </w:r>
      <w:r w:rsidR="0024338E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Megélhetési támogatás</w:t>
      </w:r>
    </w:p>
    <w:p w:rsidR="00850120" w:rsidRPr="009D226E" w:rsidRDefault="0024338E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Rövid távú tanulási/oktatási/képzési tevékenységek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780"/>
        <w:gridCol w:w="6282"/>
      </w:tblGrid>
      <w:tr w:rsidR="00850120" w:rsidRPr="009D226E" w:rsidTr="000E3917">
        <w:trPr>
          <w:trHeight w:val="626"/>
        </w:trPr>
        <w:tc>
          <w:tcPr>
            <w:tcW w:w="1534" w:type="pct"/>
            <w:tcBorders>
              <w:left w:val="single" w:sz="4" w:space="0" w:color="auto"/>
            </w:tcBorders>
            <w:vAlign w:val="center"/>
          </w:tcPr>
          <w:p w:rsidR="00850120" w:rsidRPr="009D226E" w:rsidRDefault="0024338E" w:rsidP="009D42E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  <w:lang w:val="hu-HU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Munkatársak közös, rövid távú képzése; </w:t>
            </w:r>
            <w:r w:rsidR="009D42EE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intenzív tanulmányi program (oktatók)</w:t>
            </w:r>
            <w:r w:rsidR="005246CD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, 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kísérő személyek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120" w:rsidRPr="009D226E" w:rsidRDefault="001E3594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1-14 nap között: 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10</w:t>
            </w:r>
            <w:r w:rsidR="00D8007C"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6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 xml:space="preserve"> euró</w:t>
            </w: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>/nap/fő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+</w:t>
            </w:r>
          </w:p>
          <w:p w:rsidR="00850120" w:rsidRPr="009D226E" w:rsidRDefault="001E3594" w:rsidP="001E359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15 és 60 nap között: 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7</w:t>
            </w:r>
            <w:r w:rsidR="00D8007C"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4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 xml:space="preserve"> euró</w:t>
            </w: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>/nap/fő</w:t>
            </w:r>
          </w:p>
        </w:tc>
      </w:tr>
      <w:tr w:rsidR="00850120" w:rsidRPr="009D226E" w:rsidTr="000E3917">
        <w:trPr>
          <w:trHeight w:val="666"/>
        </w:trPr>
        <w:tc>
          <w:tcPr>
            <w:tcW w:w="15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120" w:rsidRPr="009D226E" w:rsidRDefault="0024338E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4"/>
                <w:lang w:val="hu-HU" w:eastAsia="ar-SA"/>
              </w:rPr>
              <w:t>Rövid távú diák mobilitás; rövid távú diákmobilitás vegyes mobilitással (virtuális és valós) kombinálva</w:t>
            </w:r>
            <w:r w:rsidR="005246CD" w:rsidRPr="009D226E">
              <w:rPr>
                <w:rFonts w:eastAsia="Times New Roman" w:cstheme="minorHAnsi"/>
                <w:sz w:val="24"/>
                <w:szCs w:val="24"/>
                <w:lang w:val="hu-HU" w:eastAsia="ar-SA"/>
              </w:rPr>
              <w:t>, intenzív tanulmányi program</w:t>
            </w:r>
            <w:r w:rsidR="009D42EE" w:rsidRPr="009D226E">
              <w:rPr>
                <w:rFonts w:eastAsia="Times New Roman" w:cstheme="minorHAnsi"/>
                <w:sz w:val="24"/>
                <w:szCs w:val="24"/>
                <w:lang w:val="hu-HU" w:eastAsia="ar-SA"/>
              </w:rPr>
              <w:t xml:space="preserve"> (hallgatók)</w:t>
            </w:r>
            <w:r w:rsidRPr="009D226E" w:rsidDel="0024338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120" w:rsidRPr="009D226E" w:rsidRDefault="003106AA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1-14 nap között: 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5</w:t>
            </w:r>
            <w:r w:rsidR="00D8007C"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8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 xml:space="preserve"> euró</w:t>
            </w: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>/nap/fő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+</w:t>
            </w:r>
          </w:p>
          <w:p w:rsidR="00850120" w:rsidRPr="009D226E" w:rsidRDefault="000E3917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15 és 60 nap között: 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4</w:t>
            </w:r>
            <w:r w:rsidR="00D8007C"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>2</w:t>
            </w:r>
            <w:r w:rsidRPr="009D226E">
              <w:rPr>
                <w:rFonts w:eastAsia="Times New Roman" w:cstheme="minorHAnsi"/>
                <w:b/>
                <w:sz w:val="24"/>
                <w:szCs w:val="20"/>
                <w:lang w:val="hu-HU" w:eastAsia="ar-SA"/>
              </w:rPr>
              <w:t xml:space="preserve"> euró</w:t>
            </w: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>/nap/fő</w:t>
            </w:r>
          </w:p>
        </w:tc>
      </w:tr>
    </w:tbl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0E3917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Hosszú távú tanulási/oktatási/képzési tevékenységek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780"/>
        <w:gridCol w:w="6282"/>
      </w:tblGrid>
      <w:tr w:rsidR="00850120" w:rsidRPr="009D226E" w:rsidTr="000E3917">
        <w:trPr>
          <w:trHeight w:val="1665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120" w:rsidRPr="009D226E" w:rsidRDefault="000E3917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>Munkatársak hosszú távú oktatási/képzési tevékenysége</w:t>
            </w:r>
            <w:r w:rsidR="00850120"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120" w:rsidRPr="009D226E" w:rsidRDefault="001E156F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1-14 nap között: lásd következő táblázat </w:t>
            </w: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bdr w:val="single" w:sz="4" w:space="0" w:color="auto"/>
                <w:lang w:val="hu-HU" w:eastAsia="zh-CN"/>
              </w:rPr>
              <w:t>B1.5</w:t>
            </w:r>
            <w:r w:rsidRPr="009D226E"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  <w:t xml:space="preserve"> oszlopát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+</w:t>
            </w:r>
          </w:p>
          <w:p w:rsidR="00850120" w:rsidRPr="009D226E" w:rsidRDefault="001E156F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15 és 60 nap között: lásd következő táblázat </w:t>
            </w: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bdr w:val="single" w:sz="4" w:space="0" w:color="auto"/>
                <w:lang w:val="hu-HU" w:eastAsia="zh-CN"/>
              </w:rPr>
              <w:t>B1.6</w:t>
            </w:r>
            <w:r w:rsidRPr="009D226E"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  <w:t xml:space="preserve"> oszlopát </w:t>
            </w:r>
          </w:p>
          <w:p w:rsidR="00850120" w:rsidRPr="009D226E" w:rsidRDefault="00850120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>+</w:t>
            </w:r>
          </w:p>
          <w:p w:rsidR="00850120" w:rsidRPr="009D226E" w:rsidRDefault="001E156F" w:rsidP="001E156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61 nap és 12 hónap között: </w:t>
            </w: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lásd következő táblázat </w:t>
            </w: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bdr w:val="single" w:sz="4" w:space="0" w:color="auto"/>
                <w:lang w:val="hu-HU" w:eastAsia="zh-CN"/>
              </w:rPr>
              <w:t>B1.7</w:t>
            </w:r>
            <w:r w:rsidRPr="009D226E"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  <w:t xml:space="preserve"> oszlopát</w:t>
            </w:r>
            <w:r w:rsidRPr="009D226E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</w:p>
        </w:tc>
      </w:tr>
      <w:tr w:rsidR="00850120" w:rsidRPr="009D226E" w:rsidTr="000E3917">
        <w:trPr>
          <w:trHeight w:val="1187"/>
        </w:trPr>
        <w:tc>
          <w:tcPr>
            <w:tcW w:w="1534" w:type="pct"/>
            <w:tcBorders>
              <w:left w:val="single" w:sz="4" w:space="0" w:color="auto"/>
            </w:tcBorders>
            <w:vAlign w:val="center"/>
          </w:tcPr>
          <w:p w:rsidR="00850120" w:rsidRPr="009D226E" w:rsidRDefault="000E3917" w:rsidP="007204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>Hosszú távú diák mobilitás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120" w:rsidRPr="009D226E" w:rsidRDefault="001E156F" w:rsidP="001E156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</w:pPr>
            <w:r w:rsidRPr="009D226E">
              <w:rPr>
                <w:rFonts w:eastAsia="Times New Roman" w:cstheme="minorHAnsi"/>
                <w:sz w:val="24"/>
                <w:szCs w:val="20"/>
                <w:lang w:val="hu-HU" w:eastAsia="ar-SA"/>
              </w:rPr>
              <w:t xml:space="preserve">lásd következő táblázat </w:t>
            </w:r>
            <w:r w:rsidRPr="009D226E">
              <w:rPr>
                <w:rFonts w:eastAsia="SimSun" w:cstheme="minorHAnsi"/>
                <w:b/>
                <w:snapToGrid w:val="0"/>
                <w:kern w:val="3"/>
                <w:sz w:val="24"/>
                <w:szCs w:val="24"/>
                <w:bdr w:val="single" w:sz="4" w:space="0" w:color="auto"/>
                <w:lang w:val="hu-HU" w:eastAsia="zh-CN"/>
              </w:rPr>
              <w:t>B1.8</w:t>
            </w:r>
            <w:r w:rsidRPr="009D226E">
              <w:rPr>
                <w:rFonts w:eastAsia="SimSun" w:cstheme="minorHAnsi"/>
                <w:kern w:val="3"/>
                <w:sz w:val="24"/>
                <w:szCs w:val="24"/>
                <w:lang w:val="hu-HU" w:eastAsia="zh-CN"/>
              </w:rPr>
              <w:t xml:space="preserve"> oszlopát</w:t>
            </w:r>
            <w:r w:rsidR="00850120" w:rsidRPr="009D226E" w:rsidDel="002F23E2">
              <w:rPr>
                <w:rFonts w:eastAsia="SimSun" w:cstheme="minorHAnsi"/>
                <w:snapToGrid w:val="0"/>
                <w:kern w:val="3"/>
                <w:sz w:val="24"/>
                <w:szCs w:val="24"/>
                <w:lang w:val="hu-HU" w:eastAsia="zh-CN"/>
              </w:rPr>
              <w:t xml:space="preserve"> </w:t>
            </w:r>
          </w:p>
        </w:tc>
      </w:tr>
    </w:tbl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EB1634" w:rsidRPr="009D226E" w:rsidRDefault="00EB1634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E43711" w:rsidRPr="009D226E" w:rsidRDefault="00E43711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764"/>
        <w:gridCol w:w="1011"/>
        <w:gridCol w:w="2015"/>
        <w:gridCol w:w="1229"/>
      </w:tblGrid>
      <w:tr w:rsidR="000E3917" w:rsidRPr="009D226E" w:rsidTr="009D226E">
        <w:trPr>
          <w:trHeight w:val="669"/>
          <w:jc w:val="center"/>
        </w:trPr>
        <w:tc>
          <w:tcPr>
            <w:tcW w:w="2641" w:type="dxa"/>
            <w:vMerge w:val="restart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Fogadó ország</w:t>
            </w:r>
          </w:p>
        </w:tc>
        <w:tc>
          <w:tcPr>
            <w:tcW w:w="3790" w:type="dxa"/>
            <w:gridSpan w:val="3"/>
            <w:vAlign w:val="center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Munkatársak hosszú távú oktatási/képzési tevékenysége (euró/nap)</w:t>
            </w:r>
          </w:p>
        </w:tc>
        <w:tc>
          <w:tcPr>
            <w:tcW w:w="1229" w:type="dxa"/>
            <w:vAlign w:val="center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Hosszú távú diák mobilitás</w:t>
            </w:r>
          </w:p>
          <w:p w:rsidR="00D8007C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(euró/hónap)</w:t>
            </w:r>
          </w:p>
        </w:tc>
      </w:tr>
      <w:tr w:rsidR="000E3917" w:rsidRPr="009D226E" w:rsidTr="009D226E">
        <w:trPr>
          <w:jc w:val="center"/>
        </w:trPr>
        <w:tc>
          <w:tcPr>
            <w:tcW w:w="2641" w:type="dxa"/>
            <w:vMerge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4" w:type="dxa"/>
            <w:vAlign w:val="center"/>
          </w:tcPr>
          <w:p w:rsidR="00D8007C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B1.5</w:t>
            </w:r>
          </w:p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1-től 14. napig</w:t>
            </w:r>
          </w:p>
        </w:tc>
        <w:tc>
          <w:tcPr>
            <w:tcW w:w="1011" w:type="dxa"/>
            <w:vAlign w:val="center"/>
          </w:tcPr>
          <w:p w:rsidR="00D8007C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B1.6</w:t>
            </w:r>
          </w:p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15-től 60. napig</w:t>
            </w:r>
          </w:p>
        </w:tc>
        <w:tc>
          <w:tcPr>
            <w:tcW w:w="2015" w:type="dxa"/>
            <w:vAlign w:val="center"/>
          </w:tcPr>
          <w:p w:rsidR="00D8007C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B1.7</w:t>
            </w:r>
          </w:p>
          <w:p w:rsidR="000E3917" w:rsidRPr="009D226E" w:rsidRDefault="001E156F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61. nap</w:t>
            </w:r>
            <w:r w:rsidR="000E3917"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tól (12. hónapig)</w:t>
            </w:r>
          </w:p>
        </w:tc>
        <w:tc>
          <w:tcPr>
            <w:tcW w:w="1229" w:type="dxa"/>
            <w:vAlign w:val="center"/>
          </w:tcPr>
          <w:p w:rsidR="00D8007C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B1.8</w:t>
            </w:r>
          </w:p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2-12 hónapig</w:t>
            </w:r>
          </w:p>
        </w:tc>
      </w:tr>
      <w:tr w:rsidR="000E3917" w:rsidRPr="009D226E" w:rsidTr="009D226E">
        <w:trPr>
          <w:jc w:val="center"/>
        </w:trPr>
        <w:tc>
          <w:tcPr>
            <w:tcW w:w="2641" w:type="dxa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4" w:type="dxa"/>
            <w:vAlign w:val="center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SimSun" w:cstheme="minorHAnsi"/>
                <w:b/>
                <w:kern w:val="3"/>
                <w:sz w:val="18"/>
                <w:szCs w:val="18"/>
                <w:lang w:eastAsia="zh-CN"/>
              </w:rPr>
              <w:t>B1.5</w:t>
            </w:r>
          </w:p>
        </w:tc>
        <w:tc>
          <w:tcPr>
            <w:tcW w:w="1011" w:type="dxa"/>
            <w:vAlign w:val="center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SimSun" w:cstheme="minorHAnsi"/>
                <w:b/>
                <w:kern w:val="3"/>
                <w:sz w:val="18"/>
                <w:szCs w:val="18"/>
                <w:lang w:eastAsia="zh-CN"/>
              </w:rPr>
              <w:t>B1.6</w:t>
            </w:r>
          </w:p>
        </w:tc>
        <w:tc>
          <w:tcPr>
            <w:tcW w:w="2015" w:type="dxa"/>
            <w:vAlign w:val="center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SimSun" w:cstheme="minorHAnsi"/>
                <w:b/>
                <w:kern w:val="3"/>
                <w:sz w:val="18"/>
                <w:szCs w:val="18"/>
                <w:lang w:eastAsia="zh-CN"/>
              </w:rPr>
              <w:t>B1.7</w:t>
            </w:r>
          </w:p>
        </w:tc>
        <w:tc>
          <w:tcPr>
            <w:tcW w:w="1229" w:type="dxa"/>
            <w:vAlign w:val="center"/>
          </w:tcPr>
          <w:p w:rsidR="000E3917" w:rsidRPr="009D226E" w:rsidRDefault="000E3917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9D226E">
              <w:rPr>
                <w:rFonts w:eastAsia="SimSun" w:cstheme="minorHAnsi"/>
                <w:b/>
                <w:kern w:val="3"/>
                <w:sz w:val="18"/>
                <w:szCs w:val="18"/>
                <w:lang w:eastAsia="zh-CN"/>
              </w:rPr>
              <w:t>B1.8</w:t>
            </w:r>
          </w:p>
        </w:tc>
      </w:tr>
      <w:tr w:rsidR="000E3917" w:rsidRPr="009D226E" w:rsidTr="009D226E">
        <w:trPr>
          <w:jc w:val="center"/>
        </w:trPr>
        <w:tc>
          <w:tcPr>
            <w:tcW w:w="2641" w:type="dxa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Norvégia, Dánia, Luxemburg, Egyesült Királyság, Izland, Svédország, Írország, Finnország, </w:t>
            </w:r>
            <w:r w:rsidR="00440522"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Liechtenstein</w:t>
            </w:r>
          </w:p>
        </w:tc>
        <w:tc>
          <w:tcPr>
            <w:tcW w:w="764" w:type="dxa"/>
            <w:vAlign w:val="center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1011" w:type="dxa"/>
            <w:vAlign w:val="center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2015" w:type="dxa"/>
            <w:vAlign w:val="center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229" w:type="dxa"/>
          </w:tcPr>
          <w:p w:rsidR="003B0D93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  <w:p w:rsidR="003B0D93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cstheme="minorHAnsi"/>
                <w:sz w:val="18"/>
                <w:szCs w:val="18"/>
              </w:rPr>
              <w:t>168</w:t>
            </w:r>
          </w:p>
        </w:tc>
      </w:tr>
      <w:tr w:rsidR="000E3917" w:rsidRPr="009D226E" w:rsidTr="009D226E">
        <w:trPr>
          <w:jc w:val="center"/>
        </w:trPr>
        <w:tc>
          <w:tcPr>
            <w:tcW w:w="2641" w:type="dxa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Hollandia, Ausztria, Belgium, Franciaország, Németország, Olaszország, Spanyolország, Ciprus, Görögország, Málta, Portugália</w:t>
            </w:r>
          </w:p>
        </w:tc>
        <w:tc>
          <w:tcPr>
            <w:tcW w:w="764" w:type="dxa"/>
            <w:vAlign w:val="center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1011" w:type="dxa"/>
            <w:vAlign w:val="center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2015" w:type="dxa"/>
            <w:vAlign w:val="center"/>
          </w:tcPr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229" w:type="dxa"/>
          </w:tcPr>
          <w:p w:rsidR="003B0D93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  <w:p w:rsidR="003B0D93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  <w:p w:rsidR="000E3917" w:rsidRPr="009D226E" w:rsidRDefault="00D8007C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cstheme="minorHAnsi"/>
                <w:sz w:val="18"/>
                <w:szCs w:val="18"/>
              </w:rPr>
              <w:t>147</w:t>
            </w:r>
          </w:p>
        </w:tc>
      </w:tr>
      <w:tr w:rsidR="000E3917" w:rsidRPr="009D226E" w:rsidTr="009D226E">
        <w:trPr>
          <w:jc w:val="center"/>
        </w:trPr>
        <w:tc>
          <w:tcPr>
            <w:tcW w:w="2641" w:type="dxa"/>
          </w:tcPr>
          <w:p w:rsidR="000E3917" w:rsidRPr="009D226E" w:rsidRDefault="003B0D93" w:rsidP="000E3917">
            <w:pPr>
              <w:suppressAutoHyphens/>
              <w:spacing w:before="120" w:after="120"/>
              <w:contextualSpacing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Szlovénia, Észtország, Lettország, Horvátország, Szlovákia, Cseh Köztársaság, Litvánia, Törökország, Magyarország, Lengyelország, Románia, Bulgária, </w:t>
            </w:r>
            <w:r w:rsidR="00440522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FYR </w:t>
            </w:r>
            <w:r w:rsidRPr="009D226E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Macedónia</w:t>
            </w:r>
          </w:p>
        </w:tc>
        <w:tc>
          <w:tcPr>
            <w:tcW w:w="764" w:type="dxa"/>
            <w:vAlign w:val="center"/>
          </w:tcPr>
          <w:p w:rsidR="000E3917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011" w:type="dxa"/>
            <w:vAlign w:val="center"/>
          </w:tcPr>
          <w:p w:rsidR="000E3917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2015" w:type="dxa"/>
            <w:vAlign w:val="center"/>
          </w:tcPr>
          <w:p w:rsidR="000E3917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226E">
              <w:rPr>
                <w:rFonts w:eastAsia="Times New Roman" w:cstheme="minorHAnsi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229" w:type="dxa"/>
          </w:tcPr>
          <w:p w:rsidR="003B0D93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  <w:p w:rsidR="003B0D93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  <w:p w:rsidR="000E3917" w:rsidRPr="009D226E" w:rsidRDefault="003B0D93" w:rsidP="000E3917">
            <w:pPr>
              <w:suppressAutoHyphens/>
              <w:spacing w:before="120" w:after="120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9D226E">
              <w:rPr>
                <w:rFonts w:cstheme="minorHAnsi"/>
                <w:sz w:val="18"/>
                <w:szCs w:val="18"/>
              </w:rPr>
              <w:t>105</w:t>
            </w:r>
          </w:p>
        </w:tc>
      </w:tr>
    </w:tbl>
    <w:p w:rsidR="00EB1634" w:rsidRPr="009D226E" w:rsidRDefault="00EB1634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850120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</w:p>
    <w:p w:rsidR="00850120" w:rsidRPr="009D226E" w:rsidRDefault="00B86879" w:rsidP="0072048B">
      <w:pPr>
        <w:spacing w:after="0" w:line="240" w:lineRule="auto"/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5</w:t>
      </w:r>
      <w:r w:rsidR="00850120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 xml:space="preserve">.c. </w:t>
      </w:r>
      <w:r w:rsidR="004F460E"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>Nyelvi felkészítés támogatás</w:t>
      </w:r>
    </w:p>
    <w:p w:rsidR="00850120" w:rsidRPr="009D226E" w:rsidRDefault="004F460E" w:rsidP="00E43711">
      <w:pPr>
        <w:spacing w:after="0" w:line="240" w:lineRule="auto"/>
        <w:jc w:val="both"/>
        <w:rPr>
          <w:rFonts w:eastAsia="SimSun" w:cstheme="minorHAnsi"/>
          <w:snapToGrid w:val="0"/>
          <w:kern w:val="3"/>
          <w:sz w:val="24"/>
          <w:szCs w:val="24"/>
          <w:lang w:val="hu-HU" w:eastAsia="zh-CN"/>
        </w:rPr>
      </w:pPr>
      <w:r w:rsidRPr="009D226E">
        <w:rPr>
          <w:rFonts w:eastAsia="SimSun" w:cstheme="minorHAnsi"/>
          <w:snapToGrid w:val="0"/>
          <w:kern w:val="3"/>
          <w:sz w:val="24"/>
          <w:szCs w:val="24"/>
          <w:lang w:val="hu-HU" w:eastAsia="zh-CN"/>
        </w:rPr>
        <w:t xml:space="preserve">Kizárólag hosszú távú oktatási/képzési tevékenység esetén </w:t>
      </w:r>
      <w:r w:rsidR="00E43711" w:rsidRPr="009D226E">
        <w:rPr>
          <w:rFonts w:eastAsia="SimSun" w:cstheme="minorHAnsi"/>
          <w:snapToGrid w:val="0"/>
          <w:kern w:val="3"/>
          <w:sz w:val="24"/>
          <w:szCs w:val="24"/>
          <w:lang w:val="hu-HU" w:eastAsia="zh-CN"/>
        </w:rPr>
        <w:t xml:space="preserve">(lásd 3.b.) </w:t>
      </w:r>
      <w:r w:rsidRPr="009D226E">
        <w:rPr>
          <w:rFonts w:eastAsia="SimSun" w:cstheme="minorHAnsi"/>
          <w:b/>
          <w:snapToGrid w:val="0"/>
          <w:kern w:val="3"/>
          <w:sz w:val="24"/>
          <w:szCs w:val="24"/>
          <w:lang w:val="hu-HU" w:eastAsia="zh-CN"/>
        </w:rPr>
        <w:t xml:space="preserve">150 euró résztvevőnként </w:t>
      </w:r>
    </w:p>
    <w:sectPr w:rsidR="00850120" w:rsidRPr="009D226E" w:rsidSect="009D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17" w:rsidRDefault="000E3917" w:rsidP="00847E10">
      <w:pPr>
        <w:spacing w:after="0" w:line="240" w:lineRule="auto"/>
      </w:pPr>
      <w:r>
        <w:separator/>
      </w:r>
    </w:p>
  </w:endnote>
  <w:endnote w:type="continuationSeparator" w:id="0">
    <w:p w:rsidR="000E3917" w:rsidRDefault="000E3917" w:rsidP="0084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17" w:rsidRDefault="000E3917" w:rsidP="00847E10">
      <w:pPr>
        <w:spacing w:after="0" w:line="240" w:lineRule="auto"/>
      </w:pPr>
      <w:r>
        <w:separator/>
      </w:r>
    </w:p>
  </w:footnote>
  <w:footnote w:type="continuationSeparator" w:id="0">
    <w:p w:rsidR="000E3917" w:rsidRDefault="000E3917" w:rsidP="0084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03" w:rsidRPr="000D7517" w:rsidRDefault="00F77D03" w:rsidP="009D226E">
    <w:pPr>
      <w:pStyle w:val="lfej"/>
      <w:tabs>
        <w:tab w:val="clear" w:pos="9072"/>
        <w:tab w:val="right" w:pos="14004"/>
      </w:tabs>
      <w:rPr>
        <w:rFonts w:ascii="Arial Narrow" w:hAnsi="Arial Narrow"/>
        <w:noProof/>
        <w:sz w:val="18"/>
        <w:szCs w:val="18"/>
      </w:rPr>
    </w:pPr>
    <w:r>
      <w:rPr>
        <w:rFonts w:ascii="Arial Narrow" w:hAnsi="Arial Narrow" w:hint="eastAsia"/>
        <w:noProof/>
        <w:sz w:val="18"/>
        <w:szCs w:val="18"/>
      </w:rPr>
      <w:t>I</w:t>
    </w:r>
    <w:r>
      <w:rPr>
        <w:rFonts w:ascii="Arial Narrow" w:hAnsi="Arial Narrow"/>
        <w:noProof/>
        <w:sz w:val="18"/>
        <w:szCs w:val="18"/>
      </w:rPr>
      <w:t>V. sz.</w:t>
    </w:r>
    <w:r w:rsidRPr="0059245C">
      <w:rPr>
        <w:rFonts w:ascii="Arial Narrow" w:hAnsi="Arial Narrow"/>
        <w:noProof/>
        <w:sz w:val="18"/>
        <w:szCs w:val="18"/>
      </w:rPr>
      <w:t xml:space="preserve"> </w:t>
    </w:r>
    <w:r>
      <w:rPr>
        <w:rFonts w:ascii="Arial Narrow" w:hAnsi="Arial Narrow"/>
        <w:noProof/>
        <w:sz w:val="18"/>
        <w:szCs w:val="18"/>
      </w:rPr>
      <w:t xml:space="preserve">Melléklet – </w:t>
    </w:r>
    <w:r w:rsidR="00F75FEF">
      <w:rPr>
        <w:rFonts w:ascii="Arial Narrow" w:hAnsi="Arial Narrow"/>
        <w:noProof/>
        <w:sz w:val="18"/>
        <w:szCs w:val="18"/>
      </w:rPr>
      <w:t>Alkalmazandó</w:t>
    </w:r>
    <w:r>
      <w:rPr>
        <w:rFonts w:ascii="Arial Narrow" w:hAnsi="Arial Narrow"/>
        <w:noProof/>
        <w:sz w:val="18"/>
        <w:szCs w:val="18"/>
      </w:rPr>
      <w:t xml:space="preserve"> támogatási ráták</w:t>
    </w:r>
    <w:r>
      <w:rPr>
        <w:rFonts w:ascii="Arial Narrow" w:hAnsi="Arial Narrow"/>
        <w:noProof/>
        <w:sz w:val="18"/>
        <w:szCs w:val="18"/>
      </w:rPr>
      <w:tab/>
      <w:t xml:space="preserve"> </w:t>
    </w:r>
    <w:r>
      <w:rPr>
        <w:rFonts w:ascii="Arial Narrow" w:hAnsi="Arial Narrow"/>
        <w:noProof/>
        <w:sz w:val="18"/>
        <w:szCs w:val="18"/>
      </w:rPr>
      <w:tab/>
    </w:r>
    <w:r w:rsidR="005243D2" w:rsidRPr="005243D2">
      <w:rPr>
        <w:rFonts w:ascii="Arial Narrow" w:hAnsi="Arial Narrow"/>
        <w:noProof/>
        <w:sz w:val="18"/>
        <w:szCs w:val="18"/>
        <w:highlight w:val="yellow"/>
      </w:rPr>
      <w:t>szektor</w:t>
    </w:r>
    <w:r w:rsidR="00B86879" w:rsidRPr="00D74CCE">
      <w:rPr>
        <w:rFonts w:ascii="Arial Narrow" w:hAnsi="Arial Narrow"/>
        <w:noProof/>
        <w:sz w:val="18"/>
        <w:szCs w:val="18"/>
      </w:rPr>
      <w:t xml:space="preserve"> s</w:t>
    </w:r>
    <w:r w:rsidRPr="00D74CCE">
      <w:rPr>
        <w:rFonts w:ascii="Arial Narrow" w:hAnsi="Arial Narrow"/>
        <w:noProof/>
        <w:sz w:val="18"/>
        <w:szCs w:val="18"/>
      </w:rPr>
      <w:t>tratégiai</w:t>
    </w:r>
    <w:r>
      <w:rPr>
        <w:rFonts w:ascii="Arial Narrow" w:hAnsi="Arial Narrow"/>
        <w:noProof/>
        <w:sz w:val="18"/>
        <w:szCs w:val="18"/>
      </w:rPr>
      <w:t xml:space="preserve"> partnerségek 201</w:t>
    </w:r>
    <w:r w:rsidR="009D226E">
      <w:rPr>
        <w:rFonts w:ascii="Arial Narrow" w:hAnsi="Arial Narrow"/>
        <w:noProof/>
        <w:sz w:val="18"/>
        <w:szCs w:val="18"/>
      </w:rPr>
      <w:t>9</w:t>
    </w:r>
  </w:p>
  <w:p w:rsidR="00F77D03" w:rsidRDefault="00F77D03" w:rsidP="00847E10">
    <w:pPr>
      <w:pStyle w:val="lfej"/>
      <w:tabs>
        <w:tab w:val="clear" w:pos="9072"/>
        <w:tab w:val="right" w:pos="9639"/>
      </w:tabs>
      <w:rPr>
        <w:rFonts w:ascii="Arial Narrow" w:hAnsi="Arial Narrow"/>
        <w:noProof/>
        <w:sz w:val="18"/>
        <w:szCs w:val="18"/>
      </w:rPr>
    </w:pPr>
  </w:p>
  <w:p w:rsidR="000E3917" w:rsidRDefault="000E39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4BAA"/>
    <w:multiLevelType w:val="hybridMultilevel"/>
    <w:tmpl w:val="39C6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C"/>
    <w:rsid w:val="000270C0"/>
    <w:rsid w:val="00057B74"/>
    <w:rsid w:val="0009419E"/>
    <w:rsid w:val="000E3917"/>
    <w:rsid w:val="00115455"/>
    <w:rsid w:val="00154604"/>
    <w:rsid w:val="001E156F"/>
    <w:rsid w:val="001E3594"/>
    <w:rsid w:val="0024338E"/>
    <w:rsid w:val="002B5045"/>
    <w:rsid w:val="003106AA"/>
    <w:rsid w:val="00366C7E"/>
    <w:rsid w:val="0039343D"/>
    <w:rsid w:val="003B0D93"/>
    <w:rsid w:val="003E3FCC"/>
    <w:rsid w:val="00430D12"/>
    <w:rsid w:val="00440522"/>
    <w:rsid w:val="0045699D"/>
    <w:rsid w:val="004B305F"/>
    <w:rsid w:val="004B6EA0"/>
    <w:rsid w:val="004C444D"/>
    <w:rsid w:val="004C6A6D"/>
    <w:rsid w:val="004C6AF0"/>
    <w:rsid w:val="004F460E"/>
    <w:rsid w:val="005112F0"/>
    <w:rsid w:val="005243D2"/>
    <w:rsid w:val="005246CD"/>
    <w:rsid w:val="00534C95"/>
    <w:rsid w:val="0056629E"/>
    <w:rsid w:val="005718C6"/>
    <w:rsid w:val="005B1C36"/>
    <w:rsid w:val="00602100"/>
    <w:rsid w:val="00624263"/>
    <w:rsid w:val="006764D0"/>
    <w:rsid w:val="006D1AF1"/>
    <w:rsid w:val="0072048B"/>
    <w:rsid w:val="007443FC"/>
    <w:rsid w:val="0074510A"/>
    <w:rsid w:val="0076077E"/>
    <w:rsid w:val="007B7BEE"/>
    <w:rsid w:val="00831EA6"/>
    <w:rsid w:val="00844BF6"/>
    <w:rsid w:val="00847E10"/>
    <w:rsid w:val="00850120"/>
    <w:rsid w:val="0085631C"/>
    <w:rsid w:val="00866095"/>
    <w:rsid w:val="00871878"/>
    <w:rsid w:val="00891344"/>
    <w:rsid w:val="008E179D"/>
    <w:rsid w:val="00917259"/>
    <w:rsid w:val="009223ED"/>
    <w:rsid w:val="00925D54"/>
    <w:rsid w:val="00970744"/>
    <w:rsid w:val="009723B4"/>
    <w:rsid w:val="00997EB1"/>
    <w:rsid w:val="009A01BC"/>
    <w:rsid w:val="009B3710"/>
    <w:rsid w:val="009D226E"/>
    <w:rsid w:val="009D42EE"/>
    <w:rsid w:val="009D6416"/>
    <w:rsid w:val="009F1623"/>
    <w:rsid w:val="009F5C73"/>
    <w:rsid w:val="00A06383"/>
    <w:rsid w:val="00A52EFF"/>
    <w:rsid w:val="00A6620E"/>
    <w:rsid w:val="00A91261"/>
    <w:rsid w:val="00B03572"/>
    <w:rsid w:val="00B254A3"/>
    <w:rsid w:val="00B50D43"/>
    <w:rsid w:val="00B716A6"/>
    <w:rsid w:val="00B838CE"/>
    <w:rsid w:val="00B86879"/>
    <w:rsid w:val="00BC496D"/>
    <w:rsid w:val="00BC6077"/>
    <w:rsid w:val="00C66797"/>
    <w:rsid w:val="00C76A2B"/>
    <w:rsid w:val="00CA0101"/>
    <w:rsid w:val="00CB0510"/>
    <w:rsid w:val="00CB7EDF"/>
    <w:rsid w:val="00CC54B9"/>
    <w:rsid w:val="00D1527D"/>
    <w:rsid w:val="00D16EFE"/>
    <w:rsid w:val="00D60AE3"/>
    <w:rsid w:val="00D74C53"/>
    <w:rsid w:val="00D74CCE"/>
    <w:rsid w:val="00D7541A"/>
    <w:rsid w:val="00D8007C"/>
    <w:rsid w:val="00DA1CD8"/>
    <w:rsid w:val="00DB74E0"/>
    <w:rsid w:val="00DC2AAA"/>
    <w:rsid w:val="00DC44BD"/>
    <w:rsid w:val="00DE439A"/>
    <w:rsid w:val="00E43711"/>
    <w:rsid w:val="00E5285E"/>
    <w:rsid w:val="00E57F2D"/>
    <w:rsid w:val="00EB1634"/>
    <w:rsid w:val="00F03D7A"/>
    <w:rsid w:val="00F66D8F"/>
    <w:rsid w:val="00F703C1"/>
    <w:rsid w:val="00F75FEF"/>
    <w:rsid w:val="00F77D03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D5D85-17E3-47C2-9573-B6ED35C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1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39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47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7E10"/>
  </w:style>
  <w:style w:type="paragraph" w:styleId="llb">
    <w:name w:val="footer"/>
    <w:basedOn w:val="Norml"/>
    <w:link w:val="llbChar"/>
    <w:uiPriority w:val="99"/>
    <w:unhideWhenUsed/>
    <w:rsid w:val="00847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7E10"/>
  </w:style>
  <w:style w:type="character" w:styleId="Jegyzethivatkozs">
    <w:name w:val="annotation reference"/>
    <w:basedOn w:val="Bekezdsalapbettpusa"/>
    <w:uiPriority w:val="99"/>
    <w:semiHidden/>
    <w:unhideWhenUsed/>
    <w:rsid w:val="00CB05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51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51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5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510"/>
    <w:rPr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0E3917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D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3A06-A876-4275-881F-D1331A07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ARROYO Jose Manuel (EAC)</dc:creator>
  <cp:lastModifiedBy>Csonka Viktória</cp:lastModifiedBy>
  <cp:revision>2</cp:revision>
  <cp:lastPrinted>2016-04-13T08:12:00Z</cp:lastPrinted>
  <dcterms:created xsi:type="dcterms:W3CDTF">2019-08-01T08:23:00Z</dcterms:created>
  <dcterms:modified xsi:type="dcterms:W3CDTF">2019-08-01T08:23:00Z</dcterms:modified>
</cp:coreProperties>
</file>