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C9" w:rsidRPr="00065609" w:rsidRDefault="00246AC9" w:rsidP="00246AC9">
      <w:pPr>
        <w:spacing w:after="120"/>
        <w:jc w:val="center"/>
        <w:rPr>
          <w:rFonts w:ascii="Verdana" w:hAnsi="Verdana"/>
          <w:b/>
          <w:sz w:val="20"/>
        </w:rPr>
      </w:pPr>
      <w:bookmarkStart w:id="0" w:name="_GoBack"/>
      <w:bookmarkEnd w:id="0"/>
      <w:r w:rsidRPr="00065609">
        <w:rPr>
          <w:rFonts w:ascii="Verdana" w:hAnsi="Verdana"/>
          <w:b/>
          <w:sz w:val="20"/>
        </w:rPr>
        <w:t>Lehetséges indikátorok</w:t>
      </w:r>
    </w:p>
    <w:p w:rsidR="00246AC9" w:rsidRDefault="00246AC9" w:rsidP="00246AC9">
      <w:pPr>
        <w:spacing w:after="120"/>
        <w:jc w:val="both"/>
        <w:rPr>
          <w:rFonts w:ascii="Verdana" w:hAnsi="Verdana"/>
          <w:sz w:val="20"/>
        </w:rPr>
      </w:pPr>
    </w:p>
    <w:tbl>
      <w:tblPr>
        <w:tblW w:w="5359" w:type="pct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725"/>
        <w:gridCol w:w="1646"/>
        <w:gridCol w:w="2641"/>
        <w:gridCol w:w="1131"/>
        <w:gridCol w:w="1116"/>
        <w:gridCol w:w="661"/>
        <w:gridCol w:w="661"/>
        <w:gridCol w:w="2119"/>
        <w:gridCol w:w="2741"/>
      </w:tblGrid>
      <w:tr w:rsidR="00246AC9" w:rsidRPr="00065609" w:rsidTr="00D40E69">
        <w:trPr>
          <w:cantSplit/>
          <w:trHeight w:val="300"/>
          <w:tblHeader/>
        </w:trPr>
        <w:tc>
          <w:tcPr>
            <w:tcW w:w="237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Sor-szám</w:t>
            </w:r>
          </w:p>
        </w:tc>
        <w:tc>
          <w:tcPr>
            <w:tcW w:w="569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Cél</w:t>
            </w:r>
            <w:r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 xml:space="preserve"> (az intézményi stratégiából)</w:t>
            </w:r>
          </w:p>
        </w:tc>
        <w:tc>
          <w:tcPr>
            <w:tcW w:w="543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Elvárt eredmény</w:t>
            </w:r>
          </w:p>
        </w:tc>
        <w:tc>
          <w:tcPr>
            <w:tcW w:w="871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Indikátor megnevezése</w:t>
            </w:r>
          </w:p>
        </w:tc>
        <w:tc>
          <w:tcPr>
            <w:tcW w:w="373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Mérték-egység</w:t>
            </w:r>
          </w:p>
        </w:tc>
        <w:tc>
          <w:tcPr>
            <w:tcW w:w="368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Kiindulási érték</w:t>
            </w:r>
          </w:p>
        </w:tc>
        <w:tc>
          <w:tcPr>
            <w:tcW w:w="218" w:type="pct"/>
            <w:tcBorders>
              <w:top w:val="single" w:sz="8" w:space="0" w:color="C65911"/>
              <w:left w:val="nil"/>
              <w:bottom w:val="nil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Cél-érték</w:t>
            </w:r>
          </w:p>
        </w:tc>
        <w:tc>
          <w:tcPr>
            <w:tcW w:w="218" w:type="pct"/>
            <w:tcBorders>
              <w:top w:val="single" w:sz="8" w:space="0" w:color="C65911"/>
              <w:left w:val="nil"/>
              <w:bottom w:val="nil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Cél-érték</w:t>
            </w:r>
          </w:p>
        </w:tc>
        <w:tc>
          <w:tcPr>
            <w:tcW w:w="699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Adatforrás megnevezése</w:t>
            </w:r>
          </w:p>
        </w:tc>
        <w:tc>
          <w:tcPr>
            <w:tcW w:w="904" w:type="pct"/>
            <w:vMerge w:val="restart"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Mérési módszer/értelmezés</w:t>
            </w:r>
          </w:p>
        </w:tc>
      </w:tr>
      <w:tr w:rsidR="00246AC9" w:rsidRPr="00065609" w:rsidTr="00D40E69">
        <w:trPr>
          <w:trHeight w:val="315"/>
        </w:trPr>
        <w:tc>
          <w:tcPr>
            <w:tcW w:w="237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569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543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871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373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368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2016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BFBFBF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</w:t>
            </w:r>
            <w:r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99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  <w:tc>
          <w:tcPr>
            <w:tcW w:w="904" w:type="pct"/>
            <w:vMerge/>
            <w:tcBorders>
              <w:top w:val="single" w:sz="8" w:space="0" w:color="C65911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</w:p>
        </w:tc>
      </w:tr>
      <w:tr w:rsidR="00246AC9" w:rsidRPr="00065609" w:rsidTr="00D40E69">
        <w:trPr>
          <w:trHeight w:val="76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ntéz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ményi nemzetközi-esítési stratégia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nemzetköziesítési stratégia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 ellenőrzése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nemzetköziesítési stratégia végrehajtásáért felelős csoport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tagok száma (az összes pedagógus létszám arányában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Dokumentumelemzés: a munkaköri leírás ellenőrzése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nemzetköziesítési stratégia működését értékelő rendszer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dokumentáció: eljárásrend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Dokumentumelemzés: eljárásrend a stratégia felülvizsgálatára, nyomon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követésére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Nemzetköziesítési stratégia ismertsége és elfogadottsága a munkatársak körében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Dolgozói elégedettségvizsgáló kérdőív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Dolgozói elégedettségvizsgáló kérdőív alapján évente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Nemzetköziesítési stratégia ismertsége és elfogadottsága a tanulók körében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Tanulói elégedettségvizsgáló kérdőív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Tanulói elégedettségvizsgáló kérdőív alapján évente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pályázatfigyelési rendszer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pályázatfigyelési rendszer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pályázatfigyelési rendszer leíró dokumentumának ellenőrzése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Sikeres nemzetközi pályázatok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nyertes nemzetközi pályázatok összeszámolása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Sikeres nemzetközi pályázatok aránya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benyújtott nemzetközi pályázatok és az elnyert pályázatok aránya</w:t>
            </w:r>
          </w:p>
        </w:tc>
      </w:tr>
      <w:tr w:rsidR="00246AC9" w:rsidRPr="00065609" w:rsidTr="00D40E69">
        <w:trPr>
          <w:trHeight w:val="129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9.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Partnerkapcsolatok száma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Partnerlista, amely tartalmazza a partnerek elérhetős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é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gét, szakterületét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10.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Azon európai uniós országok száma, amelyekben van partnerintézménye az iskolának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 Európai Unión kívüli országok száma, amelyekben van partnerintézménye az iskolának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 ellenőrzése</w:t>
            </w:r>
          </w:p>
        </w:tc>
      </w:tr>
      <w:tr w:rsidR="00246AC9" w:rsidRPr="00065609" w:rsidTr="00D40E69">
        <w:trPr>
          <w:trHeight w:val="52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tevékenységhez szükséges infrastruktúra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intézményi számítógépek és az i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nternet csatlakozások aránya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Az intézményi számítógépek és az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nternet csatlakozások aránya</w:t>
            </w:r>
          </w:p>
        </w:tc>
      </w:tr>
      <w:tr w:rsidR="00246AC9" w:rsidRPr="00065609" w:rsidTr="00D40E69">
        <w:trPr>
          <w:trHeight w:val="129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tevékenységhez szükséges szoftverek rendelkezésre állása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szoftver nyilvántartás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Szoftverek lehetnek: szótár- és fordító szoftverek, a projektek keretében elvégzendő tevékenységeket segítő szoftverek (pl. média, szöveg- és képszerkesztő) stb.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projektek szervezésére dedikált iskolai helyiségek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helyiséggel kapcsolatban minimum elvárás, hogy legyen benne internet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hozzáféréssel ellátott számítógép</w:t>
            </w:r>
          </w:p>
        </w:tc>
      </w:tr>
      <w:tr w:rsidR="00246AC9" w:rsidRPr="00065609" w:rsidTr="00D40E69">
        <w:trPr>
          <w:trHeight w:val="205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15.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6D7C9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6D7C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nemzetközi tudásbázis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6D7C99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6D7C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adatbázis, elektronikus és/vagy hagyományos könyvtár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Tudásbázison minden olyan elektronikus vagy írott dokumentum értendő, amely segítséget nyújthat nemzetközi együttműködések előkészítéséhez, megvalósításához (pl. európai uniós alap- és háttérdokumentumok stb.) A tudásbázis minőségének megítéléséhez elégedettségi kérdőívek használata ajánlott.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nemzetköziesí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-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téshez rendelkezésre álló megfelelő humán erőforrás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6D7C9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6D7C9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Megfelelő nyelvismerettel rendelkező pedagógusok aránya a nevelőtestületben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246AC9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246AC9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nyilvántartás;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br/>
              <w:t>Nyelvtanári diplomák;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br/>
              <w:t>Nyelvvizsga bizonyítványok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Nyelvtanári végzettséggel vagy legalább középfokú nyelvvizsgával rendelkező pedagógusok száma az össz pedagógus létszámhoz viszonyítva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Megfelelő nyelvismerettel rendelkező nem nyelvtanár pedagógusok aránya a nevelőtestületben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nyilvántartás;</w:t>
            </w: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br/>
              <w:t>Nyelvvizsga bizonyítványok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Legalább középfokú nyelvvizsgával rendelkező pedagógusok száma az össz pedagógus létszámhoz viszonyítva. (Az össz pedagógus létszám számításánál a nyelvtanári végzettségű pedagógusokat figyelmen kívül kell hagyni!)</w:t>
            </w: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</w:p>
        </w:tc>
      </w:tr>
      <w:tr w:rsidR="00246AC9" w:rsidRPr="00065609" w:rsidTr="00D40E69">
        <w:trPr>
          <w:trHeight w:val="67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18.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257A93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257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257A93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257A93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tevékenységgel kapcsolatos belső tudásmegosztások rendszeressége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alkalom/hó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Emlékeztetők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 indikátor mérésénél figyelembe kell venni, hogy milyen intenzitású a szervezet nemzetközi tevékenysége, és ahhoz képeset milyen rendszeresség indokolt a belső tudásmegosztásra. Tehát nincs ideális gyakoriság,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 a lényeg a rendszeresség.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19.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események, projekteket érintő konferenciák, továbbképzések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Rendezvények dokumentációja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Azon nemzetközi események, projekteket érintő konferenciák, továbbképzések száma, amelyen az iskola képviseltette magát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20.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eseményeket, projekteket érintő konferenciákon, továbbképzéseken való részvétel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Rendezvények dokumentációja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eseményeket, projekteket érintő konferenciákon, továbbképzéseken való részvétel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Nemzetközi 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tevékenységek eredményei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projektekben fogadott tanulók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projektekben fogadott oktatók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24.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 keretében kiküldött tanulók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mobilitási projektek keretében kiküldött oktatók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fő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26.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kutatás-fejlesztési projektek/együttműködések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Projektdokumentáció/együtt-működési megállapodás ellenőrzése</w:t>
            </w:r>
          </w:p>
        </w:tc>
      </w:tr>
      <w:tr w:rsidR="00246AC9" w:rsidRPr="00065609" w:rsidTr="00D40E69">
        <w:trPr>
          <w:trHeight w:val="103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27.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tananyagok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dokumentáció, projektdokumentációk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Pedagógiai dokumentumok ellenőrzése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28.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tananyagok alkalmazása az oktatásban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 emlékeztetői, munkaközösségi megbeszélések emlékeztetői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29.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oktatási módszerek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Intézményi 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Pedagógiai dokumentumok ellenőrzése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30.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 keretében kidolgozott oktatási módszerek alkalmazása az oktatásban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%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 emlékeztetői, munkaközösségi megbeszélések emlékeztetői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Óralátogatások, hospitálások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lastRenderedPageBreak/>
              <w:t>31.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 xml:space="preserve">Nemzetközi </w:t>
            </w:r>
            <w:r w:rsidRPr="0032613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együttműködés keretében kidolgozott egyéb kiadványok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Kiadványok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Kiadványok számba vétele</w:t>
            </w:r>
          </w:p>
        </w:tc>
      </w:tr>
      <w:tr w:rsidR="00246AC9" w:rsidRPr="00065609" w:rsidTr="00D40E69">
        <w:trPr>
          <w:trHeight w:val="1545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32.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Az intézmény nemzetközi tevékenységét (is) bemutató honlap megléte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igen/nem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Honlap vagy annak olyan része, amelyen nemzetközi tartalmak találhatók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honlap működésének és aktualizáltságának ellenőrzése</w:t>
            </w:r>
          </w:p>
        </w:tc>
      </w:tr>
      <w:tr w:rsidR="00246AC9" w:rsidRPr="00065609" w:rsidTr="00D40E69">
        <w:trPr>
          <w:trHeight w:val="78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33.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Nemzetközi együttműködések keretében átvett jó gyakorlatok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Projekt-dokumentáció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Kizárólag az alkalmazott jó gyakorlatokat lehet az indikátor számításánál figyelembe venni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.</w:t>
            </w:r>
          </w:p>
        </w:tc>
      </w:tr>
      <w:tr w:rsidR="00246AC9" w:rsidRPr="00065609" w:rsidTr="00D40E69">
        <w:trPr>
          <w:trHeight w:val="228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34.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651" w:type="pct"/>
            <w:gridSpan w:val="7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u-HU"/>
              </w:rPr>
              <w:t>A projektek elvárt eredményei függvényében további indi</w:t>
            </w:r>
            <w:r>
              <w:rPr>
                <w:rFonts w:ascii="Verdana" w:eastAsia="Times New Roman" w:hAnsi="Verdana" w:cs="Times New Roman"/>
                <w:color w:val="FF0000"/>
                <w:sz w:val="18"/>
                <w:szCs w:val="18"/>
                <w:lang w:eastAsia="hu-HU"/>
              </w:rPr>
              <w:t>kátorokkal bővíthető a táblázat</w:t>
            </w:r>
          </w:p>
        </w:tc>
      </w:tr>
      <w:tr w:rsidR="00246AC9" w:rsidRPr="00065609" w:rsidTr="00D40E69">
        <w:trPr>
          <w:trHeight w:val="1800"/>
        </w:trPr>
        <w:tc>
          <w:tcPr>
            <w:tcW w:w="237" w:type="pct"/>
            <w:tcBorders>
              <w:top w:val="nil"/>
              <w:left w:val="single" w:sz="8" w:space="0" w:color="C65911"/>
              <w:bottom w:val="single" w:sz="8" w:space="0" w:color="C65911"/>
              <w:right w:val="single" w:sz="8" w:space="0" w:color="C65911"/>
            </w:tcBorders>
            <w:shd w:val="clear" w:color="000000" w:fill="BFBFBF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b/>
                <w:bCs/>
                <w:color w:val="C65911"/>
                <w:sz w:val="18"/>
                <w:szCs w:val="18"/>
                <w:lang w:eastAsia="hu-HU"/>
              </w:rPr>
              <w:t>35.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A nemzetközi tevékenységek rendszeres kommunikációja</w:t>
            </w:r>
          </w:p>
        </w:tc>
        <w:tc>
          <w:tcPr>
            <w:tcW w:w="871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Disszeminációs tevékenységek száma</w:t>
            </w:r>
          </w:p>
        </w:tc>
        <w:tc>
          <w:tcPr>
            <w:tcW w:w="373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db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noWrap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Disszeminációs tevékenység dokumentációja (pl. interjú felvétel, szórólap stb.)</w:t>
            </w:r>
          </w:p>
        </w:tc>
        <w:tc>
          <w:tcPr>
            <w:tcW w:w="904" w:type="pct"/>
            <w:tcBorders>
              <w:top w:val="nil"/>
              <w:left w:val="nil"/>
              <w:bottom w:val="single" w:sz="8" w:space="0" w:color="C65911"/>
              <w:right w:val="single" w:sz="8" w:space="0" w:color="C65911"/>
            </w:tcBorders>
            <w:shd w:val="clear" w:color="000000" w:fill="D9D9D9"/>
            <w:vAlign w:val="center"/>
            <w:hideMark/>
          </w:tcPr>
          <w:p w:rsidR="00246AC9" w:rsidRPr="00823AC7" w:rsidRDefault="00246AC9" w:rsidP="00D40E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</w:pPr>
            <w:r w:rsidRPr="00823AC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u-HU"/>
              </w:rPr>
              <w:t>Disszeminációs tevékenységnek minősül minden olyan, harmadik félnek (és nem projektpartnernek) nyújtott információszolgáltatás, melynek célja a nemzetközi eredmények bemutatása a projekteken belül kötelezően vállalt disszeminációs tevékenységeken felül.</w:t>
            </w:r>
          </w:p>
        </w:tc>
      </w:tr>
    </w:tbl>
    <w:p w:rsidR="00D65025" w:rsidRDefault="00D65025" w:rsidP="00246AC9"/>
    <w:sectPr w:rsidR="00D65025" w:rsidSect="00823AC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455" w:rsidRDefault="00C07AE8">
      <w:pPr>
        <w:spacing w:after="0" w:line="240" w:lineRule="auto"/>
      </w:pPr>
      <w:r>
        <w:separator/>
      </w:r>
    </w:p>
  </w:endnote>
  <w:endnote w:type="continuationSeparator" w:id="0">
    <w:p w:rsidR="00B07455" w:rsidRDefault="00C0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455" w:rsidRDefault="00C07AE8">
      <w:pPr>
        <w:spacing w:after="0" w:line="240" w:lineRule="auto"/>
      </w:pPr>
      <w:r>
        <w:separator/>
      </w:r>
    </w:p>
  </w:footnote>
  <w:footnote w:type="continuationSeparator" w:id="0">
    <w:p w:rsidR="00B07455" w:rsidRDefault="00C0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336367"/>
      <w:docPartObj>
        <w:docPartGallery w:val="Page Numbers (Top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AE7AFB" w:rsidRPr="00823AC7" w:rsidRDefault="00326137">
        <w:pPr>
          <w:pStyle w:val="lfej"/>
          <w:jc w:val="right"/>
          <w:rPr>
            <w:rFonts w:ascii="Verdana" w:hAnsi="Verdana"/>
            <w:sz w:val="16"/>
            <w:szCs w:val="16"/>
          </w:rPr>
        </w:pPr>
        <w:r w:rsidRPr="00823AC7">
          <w:rPr>
            <w:rFonts w:ascii="Verdana" w:hAnsi="Verdana"/>
            <w:bCs/>
            <w:sz w:val="16"/>
            <w:szCs w:val="16"/>
          </w:rPr>
          <w:fldChar w:fldCharType="begin"/>
        </w:r>
        <w:r w:rsidRPr="00823AC7">
          <w:rPr>
            <w:rFonts w:ascii="Verdana" w:hAnsi="Verdana"/>
            <w:bCs/>
            <w:sz w:val="16"/>
            <w:szCs w:val="16"/>
          </w:rPr>
          <w:instrText>PAGE</w:instrText>
        </w:r>
        <w:r w:rsidRPr="00823AC7">
          <w:rPr>
            <w:rFonts w:ascii="Verdana" w:hAnsi="Verdana"/>
            <w:bCs/>
            <w:sz w:val="16"/>
            <w:szCs w:val="16"/>
          </w:rPr>
          <w:fldChar w:fldCharType="separate"/>
        </w:r>
        <w:r w:rsidR="001B1D96">
          <w:rPr>
            <w:rFonts w:ascii="Verdana" w:hAnsi="Verdana"/>
            <w:bCs/>
            <w:noProof/>
            <w:sz w:val="16"/>
            <w:szCs w:val="16"/>
          </w:rPr>
          <w:t>2</w:t>
        </w:r>
        <w:r w:rsidRPr="00823AC7">
          <w:rPr>
            <w:rFonts w:ascii="Verdana" w:hAnsi="Verdana"/>
            <w:bCs/>
            <w:sz w:val="16"/>
            <w:szCs w:val="16"/>
          </w:rPr>
          <w:fldChar w:fldCharType="end"/>
        </w:r>
        <w:r w:rsidRPr="00823AC7">
          <w:rPr>
            <w:rFonts w:ascii="Verdana" w:hAnsi="Verdana"/>
            <w:sz w:val="16"/>
            <w:szCs w:val="16"/>
          </w:rPr>
          <w:t>/</w:t>
        </w:r>
        <w:r w:rsidRPr="00823AC7">
          <w:rPr>
            <w:rFonts w:ascii="Verdana" w:hAnsi="Verdana"/>
            <w:bCs/>
            <w:sz w:val="16"/>
            <w:szCs w:val="16"/>
          </w:rPr>
          <w:fldChar w:fldCharType="begin"/>
        </w:r>
        <w:r w:rsidRPr="00823AC7">
          <w:rPr>
            <w:rFonts w:ascii="Verdana" w:hAnsi="Verdana"/>
            <w:bCs/>
            <w:sz w:val="16"/>
            <w:szCs w:val="16"/>
          </w:rPr>
          <w:instrText>NUMPAGES</w:instrText>
        </w:r>
        <w:r w:rsidRPr="00823AC7">
          <w:rPr>
            <w:rFonts w:ascii="Verdana" w:hAnsi="Verdana"/>
            <w:bCs/>
            <w:sz w:val="16"/>
            <w:szCs w:val="16"/>
          </w:rPr>
          <w:fldChar w:fldCharType="separate"/>
        </w:r>
        <w:r w:rsidR="001B1D96">
          <w:rPr>
            <w:rFonts w:ascii="Verdana" w:hAnsi="Verdana"/>
            <w:bCs/>
            <w:noProof/>
            <w:sz w:val="16"/>
            <w:szCs w:val="16"/>
          </w:rPr>
          <w:t>6</w:t>
        </w:r>
        <w:r w:rsidRPr="00823AC7">
          <w:rPr>
            <w:rFonts w:ascii="Verdana" w:hAnsi="Verdana"/>
            <w:bCs/>
            <w:sz w:val="16"/>
            <w:szCs w:val="16"/>
          </w:rPr>
          <w:fldChar w:fldCharType="end"/>
        </w:r>
      </w:p>
    </w:sdtContent>
  </w:sdt>
  <w:p w:rsidR="00AE7AFB" w:rsidRDefault="001B1D9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F7677"/>
    <w:multiLevelType w:val="hybridMultilevel"/>
    <w:tmpl w:val="16E48D8A"/>
    <w:lvl w:ilvl="0" w:tplc="A69887F4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C9"/>
    <w:rsid w:val="001B1D96"/>
    <w:rsid w:val="00246AC9"/>
    <w:rsid w:val="00253738"/>
    <w:rsid w:val="00257A93"/>
    <w:rsid w:val="00326137"/>
    <w:rsid w:val="00835741"/>
    <w:rsid w:val="00B07455"/>
    <w:rsid w:val="00C07AE8"/>
    <w:rsid w:val="00D6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A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AC9"/>
    <w:pPr>
      <w:spacing w:after="0" w:line="240" w:lineRule="auto"/>
      <w:ind w:left="720"/>
    </w:pPr>
    <w:rPr>
      <w:rFonts w:ascii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4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6AC9"/>
  </w:style>
  <w:style w:type="paragraph" w:styleId="Buborkszveg">
    <w:name w:val="Balloon Text"/>
    <w:basedOn w:val="Norml"/>
    <w:link w:val="BuborkszvegChar"/>
    <w:uiPriority w:val="99"/>
    <w:semiHidden/>
    <w:unhideWhenUsed/>
    <w:rsid w:val="002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6AC9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46AC9"/>
    <w:pPr>
      <w:spacing w:after="0" w:line="240" w:lineRule="auto"/>
      <w:ind w:left="720"/>
    </w:pPr>
    <w:rPr>
      <w:rFonts w:ascii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46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6AC9"/>
  </w:style>
  <w:style w:type="paragraph" w:styleId="Buborkszveg">
    <w:name w:val="Balloon Text"/>
    <w:basedOn w:val="Norml"/>
    <w:link w:val="BuborkszvegChar"/>
    <w:uiPriority w:val="99"/>
    <w:semiHidden/>
    <w:unhideWhenUsed/>
    <w:rsid w:val="0024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6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970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Jenei János</dc:creator>
  <cp:lastModifiedBy>Szombath Zita</cp:lastModifiedBy>
  <cp:revision>2</cp:revision>
  <dcterms:created xsi:type="dcterms:W3CDTF">2018-09-25T14:09:00Z</dcterms:created>
  <dcterms:modified xsi:type="dcterms:W3CDTF">2018-09-25T14:09:00Z</dcterms:modified>
</cp:coreProperties>
</file>